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1B_520/2012 vom 3. Mai 2013</w:t>
      </w:r>
    </w:p>
    <w:p>
      <w:r>
        <w:t>Bundesgericht, 2013-05-03, FR</w:t>
      </w:r>
    </w:p>
    <w:p>
      <w:r>
        <w:rPr>
          <w:b/>
        </w:rPr>
        <w:t xml:space="preserve">Quelle: </w:t>
      </w:r>
      <w:r>
        <w:t>https://mcp.opencaselaw.ch/entscheid/bger_1B_520_2012</w:t>
      </w:r>
    </w:p>
    <w:p>
      <w:r>
        <w:t>FR: TF 1B_520/2012 du 3 mai 2013</w:t>
      </w:r>
    </w:p>
    <w:p>
      <w:r>
        <w:t>IT: TF 1B_520/2012 del 3 maggio 2013</w:t>
      </w:r>
    </w:p>
    <w:p>
      <w:pPr>
        <w:pStyle w:val="Heading2"/>
      </w:pPr>
      <w:r>
        <w:t>Erwägungen</w:t>
      </w:r>
    </w:p>
    <w:p>
      <w:r>
        <w:rPr>
          <w:b/>
        </w:rPr>
        <w:t>E. 1</w:t>
      </w:r>
    </w:p>
    <w:p>
      <w:r>
        <w:t>Le recours en matière pénale est recevable contre les décisions cantonales de dernière instance rendues en matière pénale (art. 78 al. 1 et 80 al. 1 LTF).</w:t>
      </w:r>
    </w:p>
    <w:p>
      <w:r>
        <w:t>La qualité pour recourir appartient notamment à la partie plaignante, si la décision attaquée peut avoir des effets sur le jugement de ses prétentions civiles (art. 81 al. 1 let. b ch. 5 LTF). Cette condition est en l'occurrence satisfaite à l'égard des prétentions en dommages-intérêts et en indemnité de réparation morale que, d'après son mémoire, la recourante envisage d'élever contre l'intimé.</w:t>
      </w:r>
    </w:p>
    <w:p>
      <w:r>
        <w:rPr>
          <w:b/>
        </w:rPr>
        <w:t>E. 2</w:t>
      </w:r>
    </w:p>
    <w:p>
      <w:r>
        <w:t>A teneur de l'art. 319 al. 1 let. a à c CPP, le Ministère public ordonne la classement de la procédure lorsque, parmi d'autres cas, aucun soupçon justifiant une mise en accusation n'est établi (let. a), les éléments constitutifs d'une infraction ne sont pas réunis (let. b), ou des faits justificatifs empêchent d'imputer une infraction au prévenu (let. c).</w:t>
      </w:r>
    </w:p>
    <w:p>
      <w:r>
        <w:t>Selon la jurisprudence, ces dispositions doivent être appliquées conformément à l'adage in dubio pro duriore, celui-ci exigeant que la poursuite pénale suive son cours tant que son issue est incertaine. Lorsque l'instruction est terminée, le Ministère public doit engager l'accusation s'il ne peut pas prononcer une ordonnance pénale et qu'une condamnation semble plus vraisemblable qu'un acquittement. En règle générale, notamment en cas d'infraction grave, le Ministère public ne peut pas non plus classer la procédure lorsque la condamnation et l'acquittement paraissent également vraisemblables. Le Ministère public doit évaluer les intérêts en présence d'après les circonstances concrètes de la cause; cet organe et l'autorité cantonale de recours jouissent d'un certain pouvoir d'appréciation, dont le Tribunal fédéral ne contrôle l'exercice qu'avec retenue ( ATF 138 IV 186 consid. 4.1 et 4.2 p. 190; 138 IV 86 consid. 4.1 p. 190).</w:t>
      </w:r>
    </w:p>
    <w:p>
      <w:r>
        <w:rPr>
          <w:b/>
        </w:rPr>
        <w:t>E. 3</w:t>
      </w:r>
    </w:p>
    <w:p>
      <w:r>
        <w:t>Selon la recourante, la Chambre des recours n'a pas discuté du coup porté à sa main gauche, violent, dénoncé dans la plainte pénale, mais d'un autre coup dont le peu d'importance semble reconnu; l'intimé aurait porté cet autre coup à sa main droite, soit « la main qui tenait la pincette » d'après les déclarations consignées par le Juge d'instruction.</w:t>
      </w:r>
    </w:p>
    <w:p>
      <w:r>
        <w:t>Cette argumentation suppose que l'intimé ait frappé les deux mains de la recourante. Un pareil fait n'est pas allégué dans la plainte pénale et aucune des dépositions recueillies ni aucune des autres pièces du dossier ne mentionne deux coups aux mains; au contraire, il n'est jamais question que d'un seul coup. La recourante introduit ainsi une allégation nouvelle qui est irrecevable au regard de l' art. 99 al. 1 LTF . De toute manière, il n'existe aucun indice d'un coup à la main autre que léger.</w:t>
      </w:r>
    </w:p>
    <w:p>
      <w:r>
        <w:rPr>
          <w:b/>
        </w:rPr>
        <w:t>E. 4</w:t>
      </w:r>
    </w:p>
    <w:p>
      <w:r>
        <w:t>Le coup que la recourante a reçu à la tête n'est prétendument pas une simple voie de fait aux termes de l' art. 126 CP , mais une lésion corporelle punissable selon l' art. 123 CP .</w:t>
      </w:r>
    </w:p>
    <w:p>
      <w:r>
        <w:t>Cette seconde disposition réprime les lésions du corps humain ou de la santé qui ne sont pas graves aux termes de l' art. 122 CP . Elle protège l'intégrité corporelle et la santé tant physique que psychique. Elle suppose une atteinte importante à ces biens juridiques. Elle vise notamment les blessures, meurtrissures, écorchures ou griffures, sauf lorsque ces lésions n'ont pas de conséquence autre qu'un trouble passager et sans importance du sentiment de bien-être (cf. ATF 134 IV 189 consid. 1.1 p. 191).</w:t>
      </w:r>
    </w:p>
    <w:p>
      <w:r>
        <w:t>La recourante a consulté un médecin le 6 janvier 2010; celui-ci a constaté « dans la région frontale paramédiane droite, juste en-dessous de la limite du cuir chevelu, une discoloration cutanée rosée, filiforme, à disposition horizontale, mesurant 1,5 cm ».</w:t>
      </w:r>
    </w:p>
    <w:p>
      <w:r>
        <w:t>Selon un autre certificat établi le même jour, la recourante présentait « un état de stress aigu survenu dans les quarante-huit heures ayant suivi un événement traumatique ». D'après un troisième certificat, la recourante a consulté un médecin spécialiste en psychiatrie et psychothérapie dès le 10 août 2010. Après « une longue série de brimades, d'humiliations ou d'ostracisme larvé », les coups reçus au cours d'une intervention chirurgicale pratiquée par la recourante avaient exercé sur elle un effet « dévastateur »; un traitement psychiatrique et psychothérapeutique intensif se poursuivait à la date du certificat, soit le 6 décembre 2011.</w:t>
      </w:r>
    </w:p>
    <w:p>
      <w:r>
        <w:t>La recourante ne prétend pas que l'instruction ait mis en évidence un harcèlement psychologique que l'intimé aurait exercé contre elle au cours de leur activité commune au service de l'établissement hospitalier, ayant entraîné ou favorisé une perturbation grave de son équilibre psychique. Elle ne prétend pas non plus que le Ministère public ait omis d'administrer les preuves disponibles à ce sujet et que l'instruction soit donc lacunaire. Dans ces conditions, le coup de tête ne semble pas s'inscrire dans un contexte par ailleurs hostile à la recourante, de sorte qu'il doit être considéré isolément. Or, selon l'expérience de la vie et le cours ordinaire des choses, ce horion n'était pas de nature à provoquer une dégradation sérieuse et prolongée de l'équilibre psychique; à supposer qu'il se trouve effectivement à l'origine du syndrome attesté par les certificats, le lien de causalité adéquate dont dépend une sanction pénale (cf. ATF 138 IV 57 consid. 4.1.3 p. 56; 131 IV 145 consid. 5.1 p. 147) fait défaut. Enfin, la « discoloration cutanée », à peine visible sur les photographies figurant au dossier, n'atteint pas le degré d'importance caractéristique d'une lésion corporelle. La recourante se plaint donc à tort d'une application incorrecte de l' art. 123 CP en relation avec l' art. 319 al. 1 let. a ou b CPP .</w:t>
      </w:r>
    </w:p>
    <w:p>
      <w:r>
        <w:rPr>
          <w:b/>
        </w:rPr>
        <w:t>E. 5</w:t>
      </w:r>
    </w:p>
    <w:p>
      <w:r>
        <w:t>Il est contesté que l'intimé ait porté un coup de tête à la recourante pour préserver le patient d'un danger imminent et impossible à détourner autrement.</w:t>
      </w:r>
    </w:p>
    <w:p>
      <w:r>
        <w:t>La recourante ne met pas en doute que les points de ligature exécutés par elle aient menacé le nerf ilio-inguinal du patient. D'après l'un des témoignages recueillis, une lésion de ce nerf entraîne pour le patient un risque important de douleurs chroniques, irréversibles et invalidantes. L'intervention de l'intimé s'imposait donc; contrairement à l'opinion de la recourante, « l'urgence médicale » est suffisamment établie.</w:t>
      </w:r>
    </w:p>
    <w:p>
      <w:r>
        <w:t>L'intimé et la recourante se trouvaient face à face, avec le patient entre eux. L'intimé a d'abord attiré l'attention de la recourante par la parole, puis par un léger coup à la main. Faute d'obtenir une réaction adéquate, il lui a asséné un coup de tête afin d'accéder personnellement et rapidement au champ opératoire. Il est admis qu'il ne pouvait pas user de ses mains pour pousser la recourante. A bien comprendre l'argumentation que celle-ci développe, l'intimé eût dû se borner à un contact modéré avec la tête, suivi d'un simple pression. Or, cette solution n'eût permis qu'un dénouement moins rapide de la situation et elle n'était donc pas également efficace. Compte tenu que le patient était exposé à un risque grave et imminent, la Chambre des recours pénale n'outrepasse pas son pouvoir d'appréciation en retenant que ce coup de tête, certes malséant, ne pouvait pas conduire à une condamnation pénale.</w:t>
      </w:r>
    </w:p>
    <w:p>
      <w:r>
        <w:rPr>
          <w:b/>
        </w:rPr>
        <w:t>E. 6</w:t>
      </w:r>
    </w:p>
    <w:p>
      <w:r>
        <w:t>Le recours se révèle privé de fondement, dans la mesure où les moyens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