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1B_518/2019 vom 19. Februar 2020</w:t>
      </w:r>
    </w:p>
    <w:p>
      <w:r>
        <w:t>Bundesgericht, 2020-02-19, DE</w:t>
      </w:r>
    </w:p>
    <w:p>
      <w:r>
        <w:rPr>
          <w:b/>
        </w:rPr>
        <w:t xml:space="preserve">Quelle: </w:t>
      </w:r>
      <w:r>
        <w:t>https://mcp.opencaselaw.ch/entscheid/bger_1B_518_2019</w:t>
      </w:r>
    </w:p>
    <w:p>
      <w:r>
        <w:t>FR: TF 1B_518/2019 du 19 février 2020</w:t>
      </w:r>
    </w:p>
    <w:p>
      <w:r>
        <w:t>IT: TF 1B_518/2019 del 19 febbraio 2020</w:t>
      </w:r>
    </w:p>
    <w:p>
      <w:pPr>
        <w:pStyle w:val="Heading2"/>
      </w:pPr>
      <w:r>
        <w:t>Erwägungen</w:t>
      </w:r>
    </w:p>
    <w:p>
      <w:r>
        <w:rPr>
          <w:b/>
        </w:rPr>
        <w:t>E. 1.1</w:t>
      </w:r>
    </w:p>
    <w:p>
      <w:r>
        <w:t>Angefochten ist ein Entscheid in einer Strafsache ( Art. 78 Abs. 1 BGG ). Das Obergericht ist Vorinstanz im Sinne von Art. 80 BGG .</w:t>
      </w:r>
    </w:p>
    <w:p>
      <w:r>
        <w:rPr>
          <w:b/>
        </w:rPr>
        <w:t>E. 1.2</w:t>
      </w:r>
    </w:p>
    <w:p>
      <w:r>
        <w:t>Der angefochtene Entscheid schliesst das Strafverfahren nicht ab. Es handelt sich um einen Zwischenentscheid. Dieser betrifft nicht die Zuständigkeit gemäss Art. 92 BGG . Es liegt somit ein "anderer Zwischenentscheid" im Sinne von Art. 93 BGG vor. Dagegen ist die Beschwerde nur zulässig,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Die zweite Voraussetzung fällt hier ausser Betracht. Die Oberstaatsanwaltschaft macht hingegen geltend, dass die erste Voraussetzung erfüllt sei. Das Bezirksgericht werde durch den Rückweisungsentscheid gezwungen, einer von ihm als falsch erachteten Weisung Folge zu leisten. Würde das Bundesgericht auf die Beschwerde nicht eintreten, könnte ihm zudem die Frage der Protokollierungspflicht mit dem Endentscheid nicht vorgelegt werden, weil kein aktuelles Interesse mehr bestünde.</w:t>
      </w:r>
    </w:p>
    <w:p>
      <w:r>
        <w:rPr>
          <w:b/>
        </w:rPr>
        <w:t>E. 1.3</w:t>
      </w:r>
    </w:p>
    <w:p>
      <w:r>
        <w:t>Im Verfahren der Beschwerde in Strafsachen muss der nicht wieder gutzumachende Nachteil gemäss Art. 93 Abs. 1 lit. a BGG nicht bloss tatsächlicher, sondern rechtlicher Natur sein ( BGE 141 IV 289 E. 1.2 S. 291 mit Hinweis). Das Interesse der Oberstaatsanwaltschaft an der richtigen Rechtsanwendung allein begründet keinen Nachteil in diesem Sinne. Irrelevant ist zudem, ob die aufgeworfene Rechtsfrage von grundsätzlicher Bedeutung ist oder nicht (Urteil 1B_312/2015 vom 21. Oktober 2015 E. 1.4).</w:t>
      </w:r>
    </w:p>
    <w:p>
      <w:r>
        <w:rPr>
          <w:b/>
        </w:rPr>
        <w:t>E. 1.4</w:t>
      </w:r>
    </w:p>
    <w:p>
      <w:r>
        <w:t>Sofern das Bezirksgericht die Staatsanwaltschaft dazu anhielte, eine Niederschrift der Videobefragung anzufertigen, erhöhte dies ihre Arbeitsbelastung. Dies stellt jedoch keinen nicht wieder gutzumachenden Nachteil rechtlicher Natur dar (Urteil 1B_312/2015 vom 21. Oktober 2015 E. 1.5 mit Hinweisen). Ob ein solches Vorgehen überhaupt zwingende Folge des angefochtenen Entscheids ist, kann somit offen bleiben. Soweit die Oberstaatsanwaltschaft argumentiert, das Bezirksgericht würde gezwungen, einer von ihm als falsch erachteten Weisung Folge zu leisten, liegt darin für die Oberstaatsanwaltschaft selbst ebenfalls kein nicht wieder gutzumachender Nachteil rechtlicher Natur.</w:t>
      </w:r>
    </w:p>
    <w:p>
      <w:r>
        <w:rPr>
          <w:b/>
        </w:rPr>
        <w:t>E. 2</w:t>
      </w:r>
    </w:p>
    <w:p>
      <w:r>
        <w:t>Die Beschwerde ist aus diesen Gründen unzulässig, weshalb darauf nicht einzutreten ist.</w:t>
      </w:r>
    </w:p>
    <w:p>
      <w:r>
        <w:t>Bei diesem Verfahrensausgang sind weder Gerichtskosten aufzuerlegen ( Art. 66 Abs. 1 und 4 BGG ) noch ist 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