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1B_518/2012 vom 9. Oktober 2012</w:t>
      </w:r>
    </w:p>
    <w:p>
      <w:r>
        <w:t>Bundesgericht, 2012-10-09, FR</w:t>
      </w:r>
    </w:p>
    <w:p>
      <w:r>
        <w:rPr>
          <w:b/>
        </w:rPr>
        <w:t xml:space="preserve">Quelle: </w:t>
      </w:r>
      <w:r>
        <w:t>https://mcp.opencaselaw.ch/entscheid/bger_1B_518_2012</w:t>
      </w:r>
    </w:p>
    <w:p>
      <w:r>
        <w:t>FR: TF 1B_518/2012 du 9 octobre 2012</w:t>
      </w:r>
    </w:p>
    <w:p>
      <w:r>
        <w:t>IT: TF 1B_518/2012 del 9 ottobre 2012</w:t>
      </w:r>
    </w:p>
    <w:p>
      <w:pPr>
        <w:pStyle w:val="Heading2"/>
      </w:pPr>
      <w:r>
        <w:t>Erwägungen</w:t>
      </w:r>
    </w:p>
    <w:p>
      <w:r>
        <w:rPr>
          <w:b/>
        </w:rPr>
        <w:t>E. 1</w:t>
      </w:r>
    </w:p>
    <w:p>
      <w:r>
        <w:t>La recourante a retourné au Tribunal fédéral l'arrêt d'irrecevabilité du 5 septembre 2012, estimant avoir droit à une décision sur le fond. Selon l' art. 61 LTF , les arrêts du Tribunal fédéral entrent en force dès leur prononcé. Cela signifie qu'ils sont définitifs. La recourante ne fait par ailleurs valoir aucun motif de révision au sens des art. 121 et 123 LTF .</w:t>
      </w:r>
    </w:p>
    <w:p>
      <w:r>
        <w:t>L'arrêt du 5 septembre 2012 et ses annexes doivent par conséquent être à nouveau remis à la recourante, avec le présent arrêt.</w:t>
      </w:r>
    </w:p>
    <w:p>
      <w:r>
        <w:rPr>
          <w:b/>
        </w:rPr>
        <w:t>E. 2</w:t>
      </w:r>
    </w:p>
    <w:p>
      <w:r>
        <w:t>Selon l' art. 78 al. 1 LTF , le recours pour déni de justice est en soi recevable au regard des art. 94, 81 et 100 al. 7 LTF (qualité et délai pour agir).</w:t>
      </w:r>
    </w:p>
    <w:p>
      <w:r>
        <w:rPr>
          <w:b/>
        </w:rPr>
        <w:t>E. 2.1</w:t>
      </w:r>
    </w:p>
    <w:p>
      <w:r>
        <w:t>Dans son arrêt du 5 septembre 2012, le Tribunal fédéral a considéré que le recours, remis à la poste le jour suivant la réception de l'arrêt du 30 août 2012, devait être considéré comme abusif. Il n'en va pas différemment du nouveau recours, interjeté par A.________ également le lendemain (soit le 14 septembre 2012) de la réception de l'arrêt du 5 septembre 2012. L'écoulement d'un laps de temps aussi court n'est au demeurant pas de nature à changer l'appréciation du Tribunal fédéral quant à l'existence d'un retard à statuer de la part du TPF. La recourante estime qu'après consultation du dossier, il existerait des indices selon lesquels le TPF refuserait délibérément de rendre sa décision en temps utile. La recourante n'explique toutefois nullement en quoi consisteraient ces indices, de sorte que ses allégations, insuffisamment motivées, sont irrecevables.</w:t>
      </w:r>
    </w:p>
    <w:p>
      <w:r>
        <w:rPr>
          <w:b/>
        </w:rPr>
        <w:t>E. 2.2</w:t>
      </w:r>
    </w:p>
    <w:p>
      <w:r>
        <w:t>Il y a lieu de relever que les nombreuses lettres, interpellations, ainsi que les recours incessants de la recourante sont manifestement de nature à ralentir le cours de la procédure, contrairement au but apparemment recherché par la recourante. En particulier, les recours au Tribunal fédéral nécessitent la production du dossier du TPF, ce qui peut évidemment perturber le traitement des causes qui sont soumises à cette juridiction.</w:t>
      </w:r>
    </w:p>
    <w:p>
      <w:r>
        <w:rPr>
          <w:b/>
        </w:rPr>
        <w:t>E. 3</w:t>
      </w:r>
    </w:p>
    <w:p>
      <w:r>
        <w:t>Manifestement mal fondé, dans la mesure où il est recevable, le recours doit être rejeté, aux frais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