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1B_513/2020 vom 30. Oktober 2020</w:t>
      </w:r>
    </w:p>
    <w:p>
      <w:r>
        <w:t>Bundesgericht, 2020-10-30, DE</w:t>
      </w:r>
    </w:p>
    <w:p>
      <w:r>
        <w:rPr>
          <w:b/>
        </w:rPr>
        <w:t xml:space="preserve">Quelle: </w:t>
      </w:r>
      <w:r>
        <w:t>https://mcp.opencaselaw.ch/entscheid/bger_1B_513_2020</w:t>
      </w:r>
    </w:p>
    <w:p>
      <w:r>
        <w:t>FR: TF 1B_513/2020 du 30 octobre 2020</w:t>
      </w:r>
    </w:p>
    <w:p>
      <w:r>
        <w:t>IT: TF 1B_513/2020 del 30 ottobre 2020</w:t>
      </w:r>
    </w:p>
    <w:p>
      <w:pPr>
        <w:pStyle w:val="Heading2"/>
      </w:pPr>
      <w:r>
        <w:t>Erwägungen</w:t>
      </w:r>
    </w:p>
    <w:p>
      <w:r>
        <w:rPr>
          <w:b/>
        </w:rPr>
        <w:t>E. 1</w:t>
      </w:r>
    </w:p>
    <w:p>
      <w:r>
        <w:t>Angefochten ist die Verfügung vom 22. September 2020, mit der die Vorinstanz das Haftentlassungsgesuch des Beschwerdeführers abgewiesen hat. Dagegen steht grundsätzlich die Beschwerde in Strafsachen an das Bundesgericht offen (vgl. Art. 78 Abs. 1, Art. 80 Abs. 1 und 2 und Art. 93 Abs. 1 lit. a BGG ). Der Beschwerdeführer ist nach Art. 81 Abs. 1 BGG zur Beschwerde berechtigt, zumal anzunehmen ist, dass er sich nach wie vor in strafprozessualer Haft befindet.</w:t>
      </w:r>
    </w:p>
    <w:p>
      <w:r>
        <w:rPr>
          <w:b/>
        </w:rPr>
        <w:t>E. 2</w:t>
      </w:r>
    </w:p>
    <w:p>
      <w:r>
        <w:t>Nach Art. 42 Abs. 2 BGG ist in der Begründung einer Beschwerde in gedrängter Form darzulegen, inwiefern der angefochtene Entscheid Recht verletzt.</w:t>
      </w:r>
    </w:p>
    <w:p>
      <w:r>
        <w:t>Die Vorinstanz hat in der angefochtenen Verfügung erwogen, es bestehe ein hinreichender Tatverdacht und die Dauer der strafprozessualen Haft erscheine nicht als unverhältnismässig. Unter Verweis auf mehrere Verfügungen, mit welchen frühere Haftentlassungsgesuche des Beschwerdeführers abgewiesen wurden, und unter Hinweis auf ein psychiatrisches Gutachten, gemäss welchem beim Beschwerdeführer ein erhöhtes Risiko für erneute Gewalttaten besteht, führte die Vorinstanz aus, es bestehe Flucht- sowie Wiederholungsgefahr, zumal sich diesbezüglich die Verhältnisse in der Zwischenzeit nicht geändert hätten. Es seien sodann keine Ersatzmassnahmen ersichtlich, mit welchen der Flucht- und Wiederholungsgefahr begegnet werden könnte. Damit sei das Haftentlassungsgesuch gestützt auf Art. 221 und Art. 233 StPO abzuweisen.</w:t>
      </w:r>
    </w:p>
    <w:p>
      <w:r>
        <w:t>Ohne dies näher auszuführen bringt der Beschwerdeführer vor, ein Rückfallrisiko oder Fluchtgefahr könnten objektiverweise nicht bejaht werden. Damit vermag er nicht im Einzelnen und konkret aufzuzeigen, inwiefern die Aufrechterhaltung der Haft rechts- bzw. verfassungswidrig sein sollte. Der Beschwerdeführer rügt auch nicht, die Vorinstanz habe den angefochtenen Entscheid unzureichend begründet. Die weiteren Ausführungen des Beschwerdeführers betreffen nicht den Gegenstand der angefochtenen Verfügung.</w:t>
      </w:r>
    </w:p>
    <w:p>
      <w:r>
        <w:rPr>
          <w:b/>
        </w:rPr>
        <w:t>E. 3</w:t>
      </w:r>
    </w:p>
    <w:p>
      <w:r>
        <w:t>Damit genügt die Beschwerde den Erfordernissen von Art. 42 Abs. 2 BGG nicht, weshalb auf sie nicht einzutreten ist. Immerhin ist im Hinblick auf die allfällige Fortführung der strafprozessualen Haft des Beschwerdeführers darauf hinzuweisen, dass Haftverlängerungsentscheide und Entscheide über Haftentlassungsgesuche mit Blick auf Art. 29 Abs. 2 BV hinreichend zu begründen sind. Angesichts der gesamten Umstände (vgl. dazu auch das Urteil 6B_360/2020 vom 8. Oktober 2020) und der Tatsache, dass sich der Beschwerdeführer nun schon seit geraumer Zeit in strafprozessualer Haft befindet, wird es nicht mehr genügen, für die Bejahung der Haftgründe ohne weitere Ausführungen auf frühere Entscheide zu verweisen.</w:t>
      </w:r>
    </w:p>
    <w:p>
      <w:r>
        <w:rPr>
          <w:b/>
        </w:rPr>
        <w:t>E. 4</w:t>
      </w:r>
    </w:p>
    <w:p>
      <w:r>
        <w:t>Auf die Erhebung von Gerichtskosten kann ausnahmsweise verzichtet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