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513/2017 vom 5. März 2018</w:t>
      </w:r>
    </w:p>
    <w:p>
      <w:r>
        <w:t>Bundesgericht, 2018-03-05, DE</w:t>
      </w:r>
    </w:p>
    <w:p>
      <w:r>
        <w:rPr>
          <w:b/>
        </w:rPr>
        <w:t xml:space="preserve">Quelle: </w:t>
      </w:r>
      <w:r>
        <w:t>https://mcp.opencaselaw.ch/entscheid/bger_1B_513_2017</w:t>
      </w:r>
    </w:p>
    <w:p>
      <w:r>
        <w:t>FR: TF 1B 513/2017 du 5 mars 2018</w:t>
      </w:r>
    </w:p>
    <w:p>
      <w:r>
        <w:t>IT: TF 1B 513/2017 del 5 marzo 2018</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 Vom Ausstandsgrund habe er zudem erst acht Tage vor seinem am 12. Oktober 2017 erhobenen Gesuch Kenntnis erhalten.</w:t>
      </w:r>
    </w:p>
    <w:p>
      <w:r>
        <w:rPr>
          <w:b/>
        </w:rPr>
        <w:t>E. 3.2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3.3</w:t>
      </w:r>
    </w:p>
    <w:p>
      <w:r>
        <w:t>Aus dem angefochtenen Entscheid geht hervor, dass die Besetzung des Berufungsgerichts dem Beschwerdeführer mit der Vorladung vom 31. Mai 2017 mitgeteilt worden war. Mit Verfügung vom 26. September 2017 sei den Parteien von einer neuen Zusammensetzung des Gerichts Kenntnis gegeben worden. Diese Verfügung sei der Verteidigung am 28. September 2017 zugestellt worden. In ihrer Beschwerdeantwort hält die Vorinstanz zudem fest, dass dem Rechtsvertreter des Beschwerdeführers bereits mit Schreiben vom 29. März 2017 mitgeteilt worden sei, wie die Geschäftszuteilung an die beiden Strafkammern und innerhalb dieser erfolge. Das Ausstandsgesuch vom 12. Oktober 2012, mit dem der Beschwerdeführer die unzureichende gesetzliche Normierung dieser Geschäftszuteilung kritisierte, war vor diesem Hintergrund offensichtlich verspätet.</w:t>
      </w:r>
    </w:p>
    <w:p>
      <w:r>
        <w:rPr>
          <w:b/>
        </w:rPr>
        <w:t>E. 3.4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der Geltendmachung von Organmängeln.</w:t>
      </w:r>
    </w:p>
    <w:p>
      <w:r>
        <w:rPr>
          <w:b/>
        </w:rPr>
        <w:t>E. 3.5</w:t>
      </w:r>
    </w:p>
    <w:p>
      <w:r>
        <w:t>Das Obergericht hat aus diesen Gründen kein Bundesrecht verletzt, wenn es auf den Antrag des Beschwerdeführers nicht eingetreten ist. Auf dessen Ausführungen zur Frage, ob die Spruchkörperbesetzung am Obergericht den Anforderungen des Anspruchs auf den gesetzlich vorgesehenen Richter genügt, ist deshalb nicht einzugehen.</w:t>
      </w:r>
    </w:p>
    <w:p>
      <w:r>
        <w:rPr>
          <w:b/>
        </w:rPr>
        <w:t>E. 4</w:t>
      </w:r>
    </w:p>
    <w:p>
      <w:r>
        <w:t>Die Beschwerde ist somit abzuweisen. Bei diesem Verfahrensausgang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