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513/2012 vom 2. Oktober 2012</w:t>
      </w:r>
    </w:p>
    <w:p>
      <w:r>
        <w:t>Bundesgericht, 2012-10-02, FR</w:t>
      </w:r>
    </w:p>
    <w:p>
      <w:r>
        <w:rPr>
          <w:b/>
        </w:rPr>
        <w:t xml:space="preserve">Quelle: </w:t>
      </w:r>
      <w:r>
        <w:t>https://mcp.opencaselaw.ch/entscheid/bger_1B_513_2012</w:t>
      </w:r>
    </w:p>
    <w:p>
      <w:r>
        <w:t>FR: TF 1B 513/2012 du 2 octobre 2012</w:t>
      </w:r>
    </w:p>
    <w:p>
      <w:r>
        <w:t>IT: TF 1B 513/2012 del 2 ottobre 2012</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conteste l'existence d'un risque de fuite. Il invoque principalement sa relation conjugale avec une Suissesse depuis juillet 2007. Il relève en particulier que son épouse viendrait lui rendre visite en prison pratiquement chaque semaine depuis avril 2011; à le suivre, sa femme serait "bien plus qu'auparavant" son unique attache familiale.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En l'espèce, le recourant peut certes se prévaloir de liens avec la Suisse dans la mesure où il est marié à une Suissesse. Néanmoins, il y a lieu de considérer que cette relation conjugale n'apparaît pas suffisante pour contrebalancer les autres éléments retenus par l'instance précédente pour admettre l'existence d'un risque de fuite concret, à savoir la nationalité du recourant, ses liens avec sa famille de sang au Nigéria et l'absence d'autres attaches sérieuses avec la Suisse. L'instance précédente a en particulier relevé que le recourant ne vivait en Suisse que depuis moins de trois ans lors de son arrestation et qu'il n'exerçait aucune activité professionnelle stable. En outre, dans sa précédente décision, elle avait notamment relevé que l'intéressé se rendait une fois par année au Nigéria auprès de sa famille. De surcroît, les attaches du recourant avec la Suisse doivent être mises en balance avec la gravité des actes qui lui sont reprochés et la peine privative importante qu'il encourt en cas de condamnation (cf. consid. 4.2 infra). A ces éléments s'ajoute la proximité de l'audience de jugement fixée au 5 novembre 2012 qui est de nature à accroître le risque de fuite (arrêt 1B_447/2011 du 21 septembre 2011 consid. 2 et les réf. cit.), contrairement à ce que semble soutenir le recourant. Les autres arguments que celui-ci avance (casier judiciaire vierge; le fait qu'il parle à présent l'allemand de manière satisfaisante; ses activités professionnelles auprès d'entreprises temporaires pour des missions dans le bâtiment et le génie civil) sont également insuffisants à faire admettre l'invraisemblance du risque de fuite. Quant à la durée du séjour en Suisse avant son arrestation, le recourant la fixe, en référence à des pièces de la procédure, à trois ans et deux mois; or, une telle correction des faits ne serait de toute manière pas susceptible d'influer sur le sort de la cause (cf. art. 97 al. 1 LTF ).</w:t>
      </w:r>
    </w:p>
    <w:p>
      <w:r>
        <w:rPr>
          <w:b/>
        </w:rPr>
        <w:t>E. 3.3</w:t>
      </w:r>
    </w:p>
    <w:p>
      <w:r>
        <w:t>Le recourant évoque ensuite brièvement que le CPP permettrait des mesures de substitution adéquates à la peine privative de liberté (saisie des documents d'identité ou d'autres documents officiels; assignation à résidence; obligation de se présenter régulièrement à un service administratif; bracelet électronique). Il se plaint implicitement d'une violation du principe de la proportionnalité, concrétisé par l' art. 237 al. 1 CPP qui prévoit que le tribunal compétent ordonne une ou plusieurs mesures moins sévères en lieu et place de la détention si ces mesures permettent d'atteindre le même but que la détention. Selon l' art. 237 al. 2 CPP , font notamment partie des mesures de substitution la saisie des documents d'identité (let. b), l'assignation à résidence ou l'interdiction de se rendre dans un certain lieu ou un certain immeuble (let. c), l'obligation de se présenter régulièrement à un service administratif (let. d) et l'interdiction d'entretenir des relations avec certaines personnes (let. g). L'instance précédente a estimé qu'aucune mesure de substitution moins sévère que la détention pour des motifs de sûreté n'était suffisante pour parer au risque évident de fuite. L'ordonnance attaquée, qui renvoie à sa précédente décision, peut être suivie, le recourant n'apportant aucun élément susceptible de retenir un abus d'appréciation de l'instance précédente. En effet, c'est à juste titre que celle-ci a considéré que le risque de fuite ne pouvait être pallié par le dépôt des pièces d'identité ou par l'assignation à résidence. Cela ne peut pas empêcher l'intéressé de passer la frontière, au vu du peu de difficulté à quitter la Suisse sans papiers (cf. arrêts 1B_423/2010 du 17 janvier 2011 consid. 5.2 et 1B_72/2007 du 16 mai 2007 consid. 4.4). Quant à l'obligation de se présenter régulièrement au poste de police, elle n'est pas de nature à empêcher une personne dans la situation du recourant de s'enfuir à l'étranger, mais permet uniquement de constater la fuite, quelques jours après sa survenance. Par ailleurs,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(cf. arrêt 1B_447/2011 du 21 septembre 2011, consid.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?uvre.</w:t>
      </w:r>
    </w:p>
    <w:p>
      <w:r>
        <w:rPr>
          <w:b/>
        </w:rPr>
        <w:t>E. 4</w:t>
      </w:r>
    </w:p>
    <w:p>
      <w:r>
        <w:t>Invoquant le principe de la proportionnalité, le recourant soutient également que la durée de la détention est excessive au regard de la peine concrètement encourue.</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rPr>
          <w:b/>
        </w:rPr>
        <w:t>E. 4.2</w:t>
      </w:r>
    </w:p>
    <w:p>
      <w:r>
        <w:t>Selon l'acte d'accusation, le recourant a formellement été mis en cause par neuf consommateurs pour avoir agi de concert avec B.________ et leur avoir vendu, respectivement offert, quelque 2710.7 g de cocaïne entre mai 2008 et janvier 2011; en tenant compte d'un taux moyen de pureté de 32 %, cette quantité équivaut à quelque 867 g de cocaïne pure. Sur la base de ces faits, il est renvoyé en jugement pour violation grave à la LStup non seulement en raison de la quantité de cocaïne remise à des tiers, mais également eu égard à son activité par métier et en qualité de membre d'une bande organisée pour se livrer au trafic de stupéfiants (art. 19 ch. 1 et 2 let. a, b et c LStup). En l'espèce, le recourant admet s'être livré à une activité délictueuse au regard de l' art. 19 ch. 2 let. a LStup . Il nie en revanche toute complicité avec les principaux protagonistes de cette affaire et estime qu'il conviendrait de se fonder sur une quantité maximum de 400 g de cocaïne brute (soit 128 g de cette substance pure), de sorte qu'au moment de son jugement il aura effectué la quasi totalité de sa peine. A ce stade de la procédure, l'acte d'accusation établi par le Ministère public constitue l'élément essentiel pour juger de la proportionnalité de la détention subie par l'accusé. Or, le recourant se contente en l'occurrence de simples dénégations et n'apporte aucun élément concret permettant de s'écarter des charges qui y figurent. Dans ces circonstances, compte tenu des graves chefs d'accusation pour lesquels il est renvoyé en jugement devant le tribunal d'arrondissement, la détention subie à ce jour par l'intéressé (moins de 20 mois) apparaît encore compatible avec la peine encourue concrètement en cas de condamnation, malgré l'absence d'antécédents judiciaires. En tout état, même si l'on admettait la version des faits du recourant, la durée de la détention subie demeurerait proportionnée. En effet, la quantité de 400 g de cocaïne brute, soit 128 g de substance pure, correspond à sept fois la quantité de 18 g justifiant une peine privative de liberté d'une année au moins ( ATF 122 IV 360 consid. 2a p. 363; 120 IV 334 consid. 2a p. 338). Enfin, il apparaît que la durée de la détention ne devrait pas se prolonger encore trop longtemps puisque l'audience de jugement a été fixée au 5 novembre 2012. Par conséquent, la Chambre pénale a correctement nié une violation du principe de la proportionnalité.</w:t>
      </w:r>
    </w:p>
    <w:p>
      <w:r>
        <w:rPr>
          <w:b/>
        </w:rPr>
        <w:t>E. 5</w:t>
      </w:r>
    </w:p>
    <w:p>
      <w:r>
        <w:t>Sur le vu de ce qui précède, le recours doit être rejeté. Le recourant a demandé l'assistance judiciaire et les conditions en paraissent réunies. Me Pierre-Armand Luyet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