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1B_512/2021 vom 1. Oktober 2021</w:t>
      </w:r>
    </w:p>
    <w:p>
      <w:r>
        <w:t>Bundesgericht, 2021-10-01, FR</w:t>
      </w:r>
    </w:p>
    <w:p>
      <w:r>
        <w:rPr>
          <w:b/>
        </w:rPr>
        <w:t xml:space="preserve">Quelle: </w:t>
      </w:r>
      <w:r>
        <w:t>https://mcp.opencaselaw.ch/entscheid/bger_1B_512_2021</w:t>
      </w:r>
    </w:p>
    <w:p>
      <w:r>
        <w:t>FR: TF 1B_512/2021 du 1 octobre 2021</w:t>
      </w:r>
    </w:p>
    <w:p>
      <w:r>
        <w:t>IT: TF 1B_512/2021 del 1 ottobre 2021</w:t>
      </w:r>
    </w:p>
    <w:p>
      <w:pPr>
        <w:pStyle w:val="Heading2"/>
      </w:pPr>
      <w:r>
        <w:t>Erwägungen</w:t>
      </w:r>
    </w:p>
    <w:p>
      <w:r>
        <w:rPr>
          <w:b/>
        </w:rPr>
        <w:t>E. 1</w:t>
      </w:r>
    </w:p>
    <w:p>
      <w:r>
        <w:t>Le recours en matière pénale est ouvert contre une décision relative à la détention provisoire ou pour des motifs de sûreté au sens des art. 212 ss CPP ( ATF 137 IV 22 consid. 1 p. 23). En outre, selon l'art. 81 al. 1 let. a et let. b ch. 1 LTF, le recourant, prévenu détenu, a un intérêt juridique à obtenir l'annulation ou la modification de la décision attaquée qui confirme son maintien en détention provisoire pour trois mois. L'arrêt entrepris représente une décision incidente qui peut causer un préjudice irréparable au recourant au sens de l' art. 93 al. 1 let. a LTF (arrêt 1B_474/2021 du 22 septembre 2021 consid. 1). Pour le surplus, le recours a été formé en temps utile ( art. 100 al. 1 LTF ) contre une décision rendue en dernière instance cantonale ( art. 80 al. 1 LTF ) et les conclusions qui y sont prises sont recevables ( art. 107 al. 2 LTF ). Partant, il y a lieu d'entrer en matière.</w:t>
      </w:r>
    </w:p>
    <w:p>
      <w:r>
        <w:rPr>
          <w:b/>
        </w:rPr>
        <w:t>E. 2</w:t>
      </w:r>
    </w:p>
    <w:p>
      <w:r>
        <w:t>Selon l' art. 99 al. 1 LTF , aucun fait nouveau ni preuve nouvelle ne peut être présenté à moins de résulter de la décision de l'autorité précédente. Il en découle que les événements ultérieurs à l'arrêt attaqué dont se prévaut notamment le Ministère public sont irrecevables.</w:t>
      </w:r>
    </w:p>
    <w:p>
      <w:r>
        <w:rPr>
          <w:b/>
        </w:rPr>
        <w:t>E. 3</w:t>
      </w:r>
    </w:p>
    <w:p>
      <w:r>
        <w:t>Le recourant ne conteste pas les charges suffisantes pesant à son encontre et les risques de fuite, ainsi que de réitération retenus; il ne prétend pas non plus qu'il existerait des mesures de substitution propres à les réduire. En particulier, le recourant ne soutient pas que les éléments relatifs à la tentative de brigandage du 17 août 2021 (cause P/16147/2021) ne permettraient pas à eux seuls de remplir les condition posées à l' art. 221 al. 1 CPP (sur ces notions, ATF 143 IV 330 consid. 2.1 p. 333 s. [charges suffisantes]; 145 IV 503 consid. 2.2 p. 507 [risque de fuite]; 146 IV 326 consid. 3.1 p. 328 s. [risque de réitération]).</w:t>
      </w:r>
    </w:p>
    <w:p>
      <w:r>
        <w:t>En revanche, le recourant se plaint d'une violation de l' art. 5 par. 3 CEDH , soutenant en substance que l'instruction relative aux faits du 17 août 2021 serait terminée et, que, faute de mise en prévention pour d'autres faits, son maintien en détention ne se justifierait donc pas. Son argumentation part toutefois de la prémisse erronée que ses aveux en lien avec ces événements mettraient un terme à l'instruction dans la cause P/16147/2021. La procédure pénale impose en effet aux autorités de s'assurer de la crédibilité des déclarations, y compris en cas d'aveux (cf. art. 160 CPP ; arrêt 1B_578/2020 du 30 novembre 2020 consid. 3.2 et les arrêts cités). En outre, les événements précités ont eu lieu moins d'un mois avant le prononcé attaqué; on ne saurait donc reprocher au Ministère public de n'avoir pas terminé l'instruction y relative. Cette constatation s'impose d'autant plus que le recourant ne prétend pas qu'au jour de l'arrêt attaqué, ses deux comparses auraient été formellement identifiés, auraient été interpellés et/ou que le comportement de chacun des trois mis en cause aurait été clarifié, notamment à la suite d'audiences de confrontation. Le recourant ne soutient pas non plus que l'instruction en lien avec ces faits ne serait pas menée de manière diligente, notamment en ne tenant pas compte de son placement en détention (cf. art. 5 al. 2 CPP , 10 Cst. et 5 par. 3 CEDH; sur ces dispositions et le principe de célérité, voir arrêt 1B_332/2021 du 6 juillet 2021 consid. 5.1 et les arrêts cités); on rappellera en outre qu'au jour de l'arrêt attaqué, une audience de confrontation avec la partie plaignante avait été fixée. Le recourant ne prétend enfin pas, à juste titre, que la durée de la détention provisoire ordonnée et subie violerait le principe de proportionnalité eu égard à la peine concrètement encourue vu les infractions examinées dans la cause P/16147/2021 (dont une tentative de brigandage, art. 140 et 22 CP ), ainsi qu'au regard de ses antécédents (condamnation le 9 juin 2021 à six mois de peine privative de liberté, à dix jours-amende à 10 fr. le jour-amende - ces deux peines étant assorties d'un sursis de trois ans - et à une amende pour vol, tentative de vol, opposition aux actes de l'autorité, entrée et séjour illégaux, ainsi que contravention à la loi fédérale du 3 octobre 1951 sur les stupéfiants et les substances psychotropes [LStup; RS 812.121]; cf. art. 212 al. 3 CPP , 31 al. 3 Cst. et 5 par. 3 CEDH; ATF 145 IV 179 consid. 3.1 p. 180 s., 3.4 et 3.5 p. 182 s.; 143 IV 168 consid. 5.1 p. 173).</w:t>
      </w:r>
    </w:p>
    <w:p>
      <w:r>
        <w:t>Au vu de ces éléments, le maintien en détention provisoire se justifie eu égard à la seule procédure P/16147/2021, laquelle n'en est qu'à ses débuts; peu importe donc à ce stade le défaut de mise en prévention du recourant au jour de l'arrêt attaqué en lien avec d'éventuelles autres activités délictueuses. La durée de la détention provisoire ordonnée par le Tmc et confirmée par l'autorité précédente ne viole ainsi pas les principes de célérité ou de proportionnalité. Partant, ces griefs peuvent être écartés.</w:t>
      </w:r>
    </w:p>
    <w:p>
      <w:r>
        <w:rPr>
          <w:b/>
        </w:rPr>
        <w:t>E. 4</w:t>
      </w:r>
    </w:p>
    <w:p>
      <w:r>
        <w:t>Il s'ensuit que le recours est rejeté.</w:t>
      </w:r>
    </w:p>
    <w:p>
      <w:r>
        <w:t>Le recourant a demandé l'assistance judiciaire ( art. 64 al. 1 LTF ). Son recours était cependant d'emblée dénué de chances de succès et cette requête doit être rejetée. Eu égard à sa situation financière, il peut cependant exceptionnellement être statué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