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1B_511/2018 vom 9. November 2018</w:t>
      </w:r>
    </w:p>
    <w:p>
      <w:r>
        <w:t>Bundesgericht, 2018-11-09, DE</w:t>
      </w:r>
    </w:p>
    <w:p>
      <w:r>
        <w:rPr>
          <w:b/>
        </w:rPr>
        <w:t xml:space="preserve">Quelle: </w:t>
      </w:r>
      <w:r>
        <w:t>https://mcp.opencaselaw.ch/entscheid/bger_1B_511_2018</w:t>
      </w:r>
    </w:p>
    <w:p>
      <w:r>
        <w:t>FR: TF 1B_511/2018 du 9 novembre 2018</w:t>
      </w:r>
    </w:p>
    <w:p>
      <w:r>
        <w:t>IT: TF 1B_511/2018 del 9 novembre 2018</w:t>
      </w:r>
    </w:p>
    <w:p>
      <w:pPr>
        <w:pStyle w:val="Heading2"/>
      </w:pPr>
      <w:r>
        <w:t>Erwägungen</w:t>
      </w:r>
    </w:p>
    <w:p>
      <w:r>
        <w:rPr>
          <w:b/>
        </w:rPr>
        <w:t>E. 1</w:t>
      </w:r>
    </w:p>
    <w:p>
      <w:r>
        <w:t>Das Strafdreiergericht des Kantons Basel-Stadt verurteilte A.________ mit Urteil vom 31. Juli 2018 zu einer Freiheitsstrafe von 2¼ Jahren. A.________, der sich seit dem 24. März 2018 in Untersuchungshaft befindet, erhob gegen das Urteil des Strafdreiergerichts Berufung. Mit Verfügung vom 18. Oktober 2018 verlängerte das Appellationsgericht Basel-Stadt die Sicherheitshaft bis zum Abschluss des Berufungsverfahrens. Es bejahte dabei den dringenden Tatverdacht und den Haftgrund der Fluchtgefahr. Die Voraussetzungen für die Anordnung von Ersatzmassnahmen (Sicherheitsleistung) verneinte es mit dem Verweis auf die Erwägungen im Entscheid des Appellationsgerichts vom 15. Juni 2018, zumal sich daran seither nichts geändert habe. Im Übrigen erachtete es die Haft als verhältnismässig.</w:t>
      </w:r>
    </w:p>
    <w:p>
      <w:r>
        <w:rPr>
          <w:b/>
        </w:rPr>
        <w:t>E. 2</w:t>
      </w:r>
    </w:p>
    <w:p>
      <w:r>
        <w:t>A.________ führt mit Eingabe vom 3. November 2018 Beschwerde in Strafsachen gegen die Verfügung des Appellationsgerichts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bestreitet zwar (sinngemäss) das Vorliegen der Haftgründe und der Verhältnismässigkeit der Haft. Er setzt sich indessen nicht mit den entsprechenden Ausführungen des Appellationsgerichts auseinander und vermag folglich nicht aufzuzeigen, inwiefern die Begründung des Appellationsgerichts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