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1B_511/2017 vom 20. Dezember 2017</w:t>
      </w:r>
    </w:p>
    <w:p>
      <w:r>
        <w:t>Bundesgericht, 2017-12-20, FR</w:t>
      </w:r>
    </w:p>
    <w:p>
      <w:r>
        <w:rPr>
          <w:b/>
        </w:rPr>
        <w:t xml:space="preserve">Quelle: </w:t>
      </w:r>
      <w:r>
        <w:t>https://mcp.opencaselaw.ch/entscheid/bger_1B_511_2017</w:t>
      </w:r>
    </w:p>
    <w:p>
      <w:r>
        <w:t>FR: TF 1B_511/2017 du 20 décembre 2017</w:t>
      </w:r>
    </w:p>
    <w:p>
      <w:r>
        <w:t>IT: TF 1B_511/2017 del 20 dicembre 2017</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let. b ch. 1 LTF, le prévenu détenu a qualité pour recourir. Pour le surplus, le recours a été formé en temps utile ( art. 100 al. 1 LTF ) contre une décision rendue en dernière instance cantonale ( art. 80 LTF ) et les conclusions qui y sont prises sont recevables ( art. 107 al. 2 LTF ). Partant, il y a lieu d'entrer en matière.</w:t>
      </w:r>
    </w:p>
    <w:p>
      <w:r>
        <w:rPr>
          <w:b/>
        </w:rPr>
        <w:t>E. 2</w:t>
      </w:r>
    </w:p>
    <w:p>
      <w:r>
        <w:t>Le recourant ne conteste pas l'existence de soupçons suffisants pesant à son encontre ( art. 221 al. 1 CPP ). Il ne remet pas non plus en cause le risque de fuite retenu ( art. 221 al. 1 let. a CPP ), mais soutient que les mesures de substitution proposées à cet égard (dépôts de sûretés et des papiers d'identité, obligation de demeurer sur le campus de l'école avec une surveillance par bracelet électronique, ainsi que d'y suivre la formation dispensée) seraient propres à le pallier, notamment si elles devaient être cumulées.</w:t>
      </w:r>
    </w:p>
    <w:p>
      <w:r>
        <w:rPr>
          <w:b/>
        </w:rPr>
        <w:t>E. 2.1</w:t>
      </w:r>
    </w:p>
    <w:p>
      <w:r>
        <w:t>Conformément au principe de la proportionnalité ( art. 36 al. 3 Cst. ), il convient d'examiner les possibilités de mettre en oeuvre d'autres solutions moins dommageables que la détention (règle de la nécessité).</w:t>
      </w:r>
    </w:p>
    <w:p>
      <w:r>
        <w:t>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rPr>
          <w:b/>
        </w:rPr>
        <w:t>E. 2.2</w:t>
      </w:r>
    </w:p>
    <w:p>
      <w:r>
        <w:t>La cour cantonale a retenu que la saisie des documents d'identité pouvait certes interdire l'embarquement à bord d'un avion, mais qu'il existait d'autres moyens, clandestins ceux-là, de quitter le territoire suisse ou d'y demeurer en se soustrayant à l'autorité, ce que la mesure susmentionnée n'était pas à même d'empêcher. Quant à la fourniture de sûretés à hauteur de 108'000 fr., elle ne donnait aucune garantie quant au risque de fuite; en effet, à défaut de connaître la situation effective du prévenu et de sa famille en Inde, il n'était pas possible d'apprécier si cela constituait un engagement suffisant.</w:t>
      </w:r>
    </w:p>
    <w:p>
      <w:r>
        <w:t>Ce raisonnement ne prête pas le flanc à la critique et le recourant ne développe aucune argumentation propre à le remettre en cause. Certes, un voyage par voie terrestre pour l'Inde, via peut-être la Syrie, l'Irak ou l'Afghanistan, n'est pas de prime abord dénué de toute complexité. On ne voit cependant pas ce qui empêcherait le recourant de trouver refuge, dans un premier temps, dans un pays limitrophe au territoire helvétique, ce indépendamment de tout papier d'identité, d'un bracelet de surveillance électronique ou d'une assignation à ne pas quitter le campus afin d'y suivre la formation - au demeurant à peine - entamée. On relève également que le caractère international de l'école fréquentée par des étudiants disposant de moyens financiers substantiels ne permet pas non plus d'exclure que le recourant puisse avoir des contacts dans d'autres pays ce qui pourrait, le cas échéant, lui offrir des opportunités de quitter la Suisse.</w:t>
      </w:r>
    </w:p>
    <w:p>
      <w:r>
        <w:t>Quant aux sûretés, le recourant soutient que le montant proposé (108'000 fr.) serait dissuasif dès lors qu'en cas de fuite, le recourant ferait perdre à sa famille l'entier de ses économies et la contraindrait à payer "dans le vide" les importants frais d'écolage de l'école C.________ (174'450 fr.). S'agissant tout d'abord des seconds, il n'est pas établi que l'entier des écolages aurait déjà été acquitté par la famille; en conséquence, la question de leur éventuel remboursement par l'école ou d'un prêt en vue de s'en acquitter pour les semestres à venir paraît dénuée de pertinence; il n'était ainsi pas arbitraire de la part de l'autorité précédente de ne pas en faire mention dans ses considérants. En ce qui concerne ensuite le montant des sûretés proprement dites, il sera a priori entièrement assuré par la famille du recourant puisque ce dernier se prétend indigent; sans remettre en cause une possible loyauté du recourant vis-à-vis de celle-ci, sa propre obligation ne serait ainsi avant tout que morale, ce qui, au regard des lourdes charges pesant à son encontre, n'offre aucune garantie suffisante.</w:t>
      </w:r>
    </w:p>
    <w:p>
      <w:r>
        <w:t>Partant, au regard de ces considérations, il y a lieu de retenir qu'il existe un risque de fuite et que les mesures de substitution proposées ne sont pas aptes à le pallier.</w:t>
      </w:r>
    </w:p>
    <w:p>
      <w:r>
        <w:rPr>
          <w:b/>
        </w:rPr>
        <w:t>E. 2.3</w:t>
      </w:r>
    </w:p>
    <w:p>
      <w:r>
        <w:t>L'existence du danger susmentionné dispense d'examiner ce qu'il en est du risque de collusion également retenu par l'autorité précédente, ainsi que le défaut de motivation allégué s'agissant de la mesure de substitution en lien avec ce danger particulier (cf. l'interdiction de prendre contact avec les personnes liées à la procédure).</w:t>
      </w:r>
    </w:p>
    <w:p>
      <w:r>
        <w:t>En tout état de cause, le recourant omet dans son raisonnement de prendre en compte que ce risque est retenu non seulement par rapport à la partie plaignante - dont la version des faits diverge totalement de celle qu'il soutient -, mais également par rapport aux personnes présentes le soir des événements, ainsi que celles peut-être fréquentées par les deux parties antérieurement. A ce stade encore très précoce de l'enquête, il se justifie de prévenir toute tentative de prise de contact et/ou d'intimidation - hypothèse qui tend au demeurant à exclure que la victime s'adresse aux autorités - afin de pouvoir établir l'enchaînement des faits, ce qu'une interdiction de prendre contact ne permet pas de garantir.</w:t>
      </w:r>
    </w:p>
    <w:p>
      <w:r>
        <w:rPr>
          <w:b/>
        </w:rPr>
        <w:t>E. 2.4</w:t>
      </w:r>
    </w:p>
    <w:p>
      <w:r>
        <w:t>Le recourant ne conteste pas le respect du principe de la proportionnalité eu égard en particulier à la durée de la peine concrètement encourue et celle de la détention provisoire subie.</w:t>
      </w:r>
    </w:p>
    <w:p>
      <w:r>
        <w:rPr>
          <w:b/>
        </w:rPr>
        <w:t>E. 2.5</w:t>
      </w:r>
    </w:p>
    <w:p>
      <w:r>
        <w:t>Il s'ensuit que la cour cantonale a confirmé à juste titre le placement en détention provisoire ordonné le 5 novembre 2017 par le Tmc.</w:t>
      </w:r>
    </w:p>
    <w:p>
      <w:r>
        <w:rPr>
          <w:b/>
        </w:rPr>
        <w:t>E. 3</w:t>
      </w:r>
    </w:p>
    <w:p>
      <w:r>
        <w:t>Le recours est rejeté.</w:t>
      </w:r>
    </w:p>
    <w:p>
      <w:r>
        <w:t>Le recourant a requis l'octroi de l'assistance judiciaire. Il soutient qu'en tant qu'étudiant, il ne disposerait d'aucun revenu. Cette circonstance, ainsi que le placement en détention provisoire ne suffisent cependant pas dans le cas d'espèce pour établir son indigence (cf. l'école hôtelière nécessitant des moyens financiers substantiels, les contacts avec sa famille en Inde et le paiement des sûretés envisagé par celle-ci); cela vaut d'autant plus que le recourant ne produit aucune pièce qui attesterait de l'absence de tout moyen financier pendant son séjour en Suisse. Partant, sa requête d'assistance judiciaire doit être rejetée ( art. 64 al. 1 LTF ). Il supporte en conséquence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