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510/2020 vom 12. Februar 2021</w:t>
      </w:r>
    </w:p>
    <w:p>
      <w:r>
        <w:t>Bundesgericht, 2021-02-12, FR</w:t>
      </w:r>
    </w:p>
    <w:p>
      <w:r>
        <w:rPr>
          <w:b/>
        </w:rPr>
        <w:t xml:space="preserve">Quelle: </w:t>
      </w:r>
      <w:r>
        <w:t>https://mcp.opencaselaw.ch/entscheid/bger_1B_510_2020</w:t>
      </w:r>
    </w:p>
    <w:p>
      <w:r>
        <w:t>FR: TF 1B 510/2020 du 12 février 2021</w:t>
      </w:r>
    </w:p>
    <w:p>
      <w:r>
        <w:t>IT: TF 1B 510/2020 del 12 febbraio 2021</w:t>
      </w:r>
    </w:p>
    <w:p>
      <w:pPr>
        <w:pStyle w:val="Heading2"/>
      </w:pPr>
      <w:r>
        <w:t>Regeste</w:t>
      </w:r>
    </w:p>
    <w:p>
      <w:r>
        <w:t>procédure pénale, levée de scellés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Ne mettant pas un terme à la procédure pénale, la décision attaquée est de nature incidente ( art. 93 LTF ). Le recours au Tribunal fédéral n'est donc en principe recevable qu'en présence d'un préjudice irréparable au sens de l' art. 93 al. 1 let. a LTF . Il faut toutefois réserver l'hypothèse d'un recours formé contre une décision d'irrecevabilité, cette situation équivalant, sous l'angle de la recevabilité, à un déni de justice formel. Le recours sur cette question particulière est donc ouvert indépendamment d'un préjudice irréparable (cf. ATF 143 I 344 consid. 1.2 p. 346). A cet égard toutefois, seule la question de la recevabilité de la demande de mise sous scellés peut être portée devant le Tribunal fédéral.</w:t>
      </w:r>
    </w:p>
    <w:p>
      <w:r>
        <w:rPr>
          <w:b/>
        </w:rPr>
        <w:t>E. 1.3</w:t>
      </w:r>
    </w:p>
    <w:p>
      <w:r>
        <w:t>En l'espèce, le Tmc a principalement jugé qu'au regard de la jurisprudence (cf. arrêt 1B_300/2016 du 5 octobre 2016 consid. 2.1), la demande de mise sous scellés était tardive, en tant qu'elle n'avait été formulée que le 17 juin 2020, soit deux jours après que la recourante avait pris connaissance de la saisie de la documentation litigieuse. La demande devait par conséquent être déclarée irrecevable (cf. ordonnance attaquée, consid. 1.2 p. 4; dispositif, ch. 1). Il ressort néanmoins des considérants de l'ordonnance attaquée que le Tmc, saisi par le Ministère public d'une requête de levée des scellés, s'est également prononcé sur les motifs que la recourante avait développés dans la demande du 17 juin 2020, puis dans ses déterminations subséquentes sur la demande de levée des scellés. Le Tmc a estimé en substance que la recourante, sous couvert de secrets des affaires, cherchait en réalité à soustraire la documentation litigieuse de la vue des parties plaignantes, et non spécifiquement de celle du Ministère public. Or, il n'était pas suffisant que la recourante se prévale, dans le contexte d'une procédure de scellés, de l'existence de procédures civiles l'opposant aux parties plaignantes et du risque que ces dernières obtiennent, par le biais de la procédure pénale, des informations qui pourraient être utilisées sur le plan civil. En effet, la recherche de la vérité ne pouvait pas être empêchée au seul motif que la position de la recourante serait péjorée dans le cadre de procédures civiles annexes. Cela valait d'autant plus qu'elle n'avait pas mis en évidence, dans la documentation litigieuse, des éléments qui pourraient être couverts par le secret des affaires, respectivement les activités commerciales qui seraient dès lors mises en péril (cf. ordonnance attaquée, consid. 1.2, 5ème paragraphe, p. 4).</w:t>
      </w:r>
    </w:p>
    <w:p>
      <w:r>
        <w:rPr>
          <w:b/>
        </w:rPr>
        <w:t>E. 1.4</w:t>
      </w:r>
    </w:p>
    <w:p>
      <w:r>
        <w:t>Certes, en tant que le dispositif de l'ordonnance attaquée se limite à déclarer irrecevable la demande de mise sous scellés (ch. 1) et à ordonner la restitution au Ministère public de la documentation litigieuse (ch. 2), sa formulation manque de précision au regard de la motivation présentée dans les considérants de l'ordonnance. Dès lors que le Ministère public avait placé la documentation sous scellés à la suite de la demande du 17 juin 2020 et que le Tmc a été saisi d'une demande tendant à la levée des scellés, sur laquelle la recourante s'est de surcroît déterminée, il aurait en effet été préférable que le Tmc mentionne expressément, dans le dispositif de l'ordonnance, le sort qu'il convenait de réserver à la demande de levée de scellés.</w:t>
      </w:r>
    </w:p>
    <w:p>
      <w:r>
        <w:rPr>
          <w:b/>
        </w:rPr>
        <w:t>E. 1.5</w:t>
      </w:r>
    </w:p>
    <w:p>
      <w:r>
        <w:t>Il n'en demeure pas moins que, par l'ordonnance attaquée, le Tmc a effectivement exprimé les motifs justifiant, sur le fond, la levée des scellés. Dans ce contexte, dès lors que la décision attaquée comporte des motivations indépendantes, alternatives ou subsidiaires, toutes suffisantes pour sceller le sort de la cause, il appartient au recourant, sous peine d'irrecevabilité, de démontrer que chacune d'elles est contraire au droit (cf. art. 42 al. 2 LTF ; ATF 142 III 364 consid. 2.4 p. 368; 138 I 97 consid. 4.1.4 p. 100; arrêt 1C_577/2020 du 3 février 2021 consid. 2). En l'occurrence, la recourante, qui ne prend pas de conclusions en réforme, concluant uniquement au renvoi de la cause au Tmc, se borne à contester le caractère tardif de sa requête de mise sous scellés, sans par ailleurs remettre en cause l'appréciation de l'autorité précédente quant à l'absence, dans la documentation litigieuse, d'informations dignes d'être protégées en vertu de secrets d'affaires. En particulier, elle ne démontre pas dans quelle mesure le raisonnement du Tmc est erroné au regard des déterminations qu'elle lui avait fait parvenir le 17 août 2020, ni dès lors en quoi, en cas de renvoi de la cause au Tmc, celui-ci serait empêché de reprendre, dans sa nouvelle décision sur le sort des pièces sous scellés, la même motivation qu'il a déjà développée dans l'ordonnance attaquée.</w:t>
      </w:r>
    </w:p>
    <w:p>
      <w:r>
        <w:rPr>
          <w:b/>
        </w:rPr>
        <w:t>E. 1.6</w:t>
      </w:r>
    </w:p>
    <w:p>
      <w:r>
        <w:t>Faute d'une motivation suffisante au regard de l' art. 42 al. 2 LTF , le recours doit être déclaré irrecevable.</w:t>
      </w:r>
    </w:p>
    <w:p>
      <w:r>
        <w:rPr>
          <w:b/>
        </w:rPr>
        <w:t>E. 2</w:t>
      </w:r>
    </w:p>
    <w:p>
      <w:r>
        <w:t>Compte tenu de la formulation imprécise du dispositif de l'ordonnance attaquée (cf. consid. 1.4 supra), il se justifie d'exempter la recourante de la charge des frais judiciaires (art. 66 al. 1, 2ème phrase,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