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50/2020 vom 4. Februar 2020</w:t>
      </w:r>
    </w:p>
    <w:p>
      <w:r>
        <w:t>Bundesgericht, 2020-02-04, DE</w:t>
      </w:r>
    </w:p>
    <w:p>
      <w:r>
        <w:rPr>
          <w:b/>
        </w:rPr>
        <w:t xml:space="preserve">Quelle: </w:t>
      </w:r>
      <w:r>
        <w:t>https://mcp.opencaselaw.ch/entscheid/bger_1B_50_2020</w:t>
      </w:r>
    </w:p>
    <w:p>
      <w:r>
        <w:t>FR: TF 1B 50/2020 du 4 février 2020</w:t>
      </w:r>
    </w:p>
    <w:p>
      <w:r>
        <w:t>IT: TF 1B 50/2020 del 4 febbraio 2020</w:t>
      </w:r>
    </w:p>
    <w:p>
      <w:pPr>
        <w:pStyle w:val="Heading2"/>
      </w:pPr>
      <w:r>
        <w:t>Regeste</w:t>
      </w:r>
    </w:p>
    <w:p>
      <w:r>
        <w:t>Parteistellung als Zivilklägerin (gewerbsmässiger Betrug, evtl. unrechtmässiger Erwirkung einer Leistung) | Strafprozess</w:t>
      </w:r>
    </w:p>
    <w:p>
      <w:pPr>
        <w:pStyle w:val="Heading2"/>
      </w:pPr>
      <w:r>
        <w:t>Erwägungen</w:t>
      </w:r>
    </w:p>
    <w:p>
      <w:r>
        <w:rPr>
          <w:b/>
        </w:rPr>
        <w:t>E. 1</w:t>
      </w:r>
    </w:p>
    <w:p>
      <w:r>
        <w:t>Angefochten ist ein kantonal letztinstanzlicher Entscheid, mit dem das Kantonsgericht die Verfügung der Staatsanwaltschaft geschützt hat, mit der sie die Beschwerdeführerin im Strafverfahren gegen einen mutmasslichen Sozialhilfebetrüger nicht als Zivilklägerin zuliess mit der Begründung, im Strafverfahren könnten nur Zivilforderungen adhäsionsweise geltend gemacht werden, nicht aber öffentlichrechtliche Rückforderungsansprüche; dagegen ist die Beschwerde in Strafsachen zulässig ( Art. 78 Abs. 1, Art. 80 BGG ). Er schliesst das Verfahren indessen nicht ab, auch nicht für die Beschwerdeführerin, die im Strafverfahren weiterhin Parteistellung hat.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wiedergutzumachende Nachteil ergeben soll, sofern dies nicht offensichtlich ist ( BGE 138 III 46 E. 1.2 S. 47; zum Ganzen: BGE 141 IV 284 E. 2.3 S. 287; 289 E. 1.3 S. 292). Die Beschwerdeführerin legt nicht dar, inwiefern ihr durch den angefochtenen Entscheid ein nicht wiedergutzumachender Nachteil rechtlicher Natur droht. Das ist auch nicht ersichtlich, ist doch der Strafrichter nicht an die vorliegenden angefochtenen Entscheide des Kantonsgerichts und der Staatsanwaltschaft gebunden. Als Partei des Strafverfahrens ist es ihr unbenommen, ihre Rückforderungsansprüche beim Strafgericht geltend zu machen und das Strafurteil anzufechten, wenn es auf diesen Antrag nicht eintritt oder ihn abweist.</w:t>
      </w:r>
    </w:p>
    <w:p>
      <w:r>
        <w:rPr>
          <w:b/>
        </w:rPr>
        <w:t>E. 2</w:t>
      </w:r>
    </w:p>
    <w:p>
      <w:r>
        <w:t>Auf die Beschwerde ist wegen Verletzung der gesetzlichen Begründungspflicht im vereinfachten Verfahren nicht einzutreten. Es rechtfertigt sich vorliegend, auf die Auferlegung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