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1B_508/2021 vom 23. September 2021</w:t>
      </w:r>
    </w:p>
    <w:p>
      <w:r>
        <w:t>Bundesgericht, 2021-09-23, DE</w:t>
      </w:r>
    </w:p>
    <w:p>
      <w:r>
        <w:rPr>
          <w:b/>
        </w:rPr>
        <w:t xml:space="preserve">Quelle: </w:t>
      </w:r>
      <w:r>
        <w:t>https://mcp.opencaselaw.ch/entscheid/bger_1B_508_2021</w:t>
      </w:r>
    </w:p>
    <w:p>
      <w:r>
        <w:t>FR: TF 1B_508/2021 du 23 septembre 2021</w:t>
      </w:r>
    </w:p>
    <w:p>
      <w:r>
        <w:t>IT: TF 1B_508/2021 del 23 settembre 2021</w:t>
      </w:r>
    </w:p>
    <w:p>
      <w:pPr>
        <w:pStyle w:val="Heading2"/>
      </w:pPr>
      <w:r>
        <w:t>Erwägungen</w:t>
      </w:r>
    </w:p>
    <w:p>
      <w:r>
        <w:rPr>
          <w:b/>
        </w:rPr>
        <w:t>E. 1</w:t>
      </w:r>
    </w:p>
    <w:p>
      <w:r>
        <w:t>A.________ erstattete am 7. Juni 2021 Strafanzeige wegen Ehrverletzung gegen B.________, Mitarbeiterin am Familiengericht Rheinfelden. Diese habe sich ihr gegenüber ehrverletzend geäussert und den Sozialbericht fahrlässig u.a. dem Kindsvater zukommen lassen. Die Staatsanwaltschaft Zofingen-Kulm erliess am 27. Juli 2021 eine Nichtanhandnahmeverfügung, welche A.________ mit Beschwerde vom 11. August 2021 anfocht.</w:t>
      </w:r>
    </w:p>
    <w:p>
      <w:r>
        <w:t>Die Beschwerdekammer in Strafsachen des Obergerichts des Kantons Aargau forderte A.________ mit Verfügung vom 18. August 2021 auf, für allfällige Kosten eine Sicherheit von Fr. 800.-- zu leisten. In der Folge stellte A.________ am 28. August 2021 ein Gesuch um unentgeltliche Rechtspflege. Die Beschwerdekammer in Strafsachen wies das Gesuch mit Verfügung vom 3. September 2021 ab und setzte A.________ eine letzte Nachfrist von 10 Tagen zur Zahlung der Sicherheit von Fr. 800.--. Zur Begründung führte sie zusammenfassend aus, dass der Privatklägerschaft für die Durchsetzung ihrer Zivilansprüche ganz oder teilweise die unentgeltliche Rechtspflege gewährt werde, wenn die Privatklägerschaft nicht über die erforderlichen Mittel verfüge und die Zivilklage nicht aussichtslos erscheine. Im Kanton Aargau würden der Kanton und die Gemeinden für den Schaden haften, den ihre Behörden, Beamten und übrigen Mitarbeitenden in Ausübung der amtlichen Tätigkeit Dritten widerrechlich verursacht hätten. Ein direktes Klagerecht gegen den fehlbaren Beamten oder Angestellten sei ausgeschlossen, weshalb sich eine adhäsionsweise erhobene Zivilklage als aussichtslos erweise.</w:t>
      </w:r>
    </w:p>
    <w:p>
      <w:r>
        <w:rPr>
          <w:b/>
        </w:rPr>
        <w:t>E. 2</w:t>
      </w:r>
    </w:p>
    <w:p>
      <w:r>
        <w:t>A.________ führt mit Eingaben vom 13. und 15. September 2021 Beschwerde in Strafsachen gegen die Verfügung der Beschwerdekammer in Strafsachen des Obergerichts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mit der Begründung der Beschwerdekammer in Strafsachen, die zur Abweisung des Gesuch um unentgeltliche Rechtspflege führte, nicht auseinander. Aus ihren Ausführungen ergibt sich nicht ansatzweise, inwiefern diese Begründung bzw. die Verfügung der Beschwerdekammer in Strafsachen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