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1B_508/2018 vom 4. Dezember 2018</w:t>
      </w:r>
    </w:p>
    <w:p>
      <w:r>
        <w:t>Bundesgericht, 2018-12-04, FR</w:t>
      </w:r>
    </w:p>
    <w:p>
      <w:r>
        <w:rPr>
          <w:b/>
        </w:rPr>
        <w:t xml:space="preserve">Quelle: </w:t>
      </w:r>
      <w:r>
        <w:t>https://mcp.opencaselaw.ch/entscheid/bger_1B_508_2018</w:t>
      </w:r>
    </w:p>
    <w:p>
      <w:r>
        <w:t>FR: TF 1B_508/2018 du 4 décembre 2018</w:t>
      </w:r>
    </w:p>
    <w:p>
      <w:r>
        <w:t>IT: TF 1B_508/2018 del 4 dicembre 2018</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 prévenu actuellement détenu - dans ses intérêts juridiquement protégés (art. 81 al. 1 let. a et b ch. 1 LTF), le recours en matière pénale est recevable.</w:t>
      </w:r>
    </w:p>
    <w:p>
      <w:r>
        <w:rPr>
          <w:b/>
        </w:rPr>
        <w:t>E. 2</w:t>
      </w:r>
    </w:p>
    <w:p>
      <w:r>
        <w:t>Dans un premier grief, le recourant se plaint d'une violation de son droit d'être entendu ( art. 3 CPP et 227 al. 6 CPP) en tant que le Tmc aurait refusé d'aménager une audience à huis clos au sens de l' art. 227 al. 6 CPP avant de statuer sur la prolongation de la détention provisoire.</w:t>
      </w:r>
    </w:p>
    <w:p>
      <w:r>
        <w:rPr>
          <w:b/>
        </w:rPr>
        <w:t>E. 2.1</w:t>
      </w:r>
    </w:p>
    <w:p>
      <w:r>
        <w:t>A teneur de l' art. 227 al. 6 CPP , la procédure de prolongation de la détention provisoire se déroule, en règle générale, par écrit; toutefois, le Tmc peut ordonner une audience; celle-ci se déroule à huis clos.</w:t>
      </w:r>
    </w:p>
    <w:p>
      <w:r>
        <w:t>Contrairement à ce qui prévaut lors de la procédure initiale de placement en détention ( art. 225 al. 5 CPP ) ou lors de l'examen d'une demande de libération ( art. 228 al. 4 CPP ), le recourant ne dispose pas d'un droit absolu à être entendu oralement dans le cadre de la procédure de prolongation de la détention puisqu'elle se déroule en règle générale par écrit conformément à l' art. 227 al. 6 CPP (cf. ATF 137 IV 186 consid. 3.2 p. 188; arrêt 1B_26/2017 du 8 février 2017 consid. 2.1.1). Le droit d'être entendu découlant de l' art. 29 al. 2 Cst. - consacré à l' art. 3 al. 2 let . c CPP - n'impose pas à l'autorité de procéder à une audition du prévenu (cf. ATF 134 I 140 consid. 5.3 p. 148). La tenue d'une audience est laissée à l'appréciation du tribunal et ce lui-ci peut statuer sur la base du dossier et des écritures des parties s'il s'estime suffisamment renseigné (cf. ATF 137 IV 186 consid. 3.2 p. 188; arrêt 1B_26/2017 précité consid. 2.1.1 et les réf. cit.). Exceptionnellement, la recherche de la vérité peut toutefois justifier la mise en place d'une séance (arrêt 1B_568/2012 du 31 octobre 2012 consid. 3.2; MARC FORSTER, in Basler Kommentar, Schweizerische Strafprozessordnung, Art. 196-457 StPO, 2</w:t>
      </w:r>
    </w:p>
    <w:p>
      <w:r>
        <w:t>e éd. 2014, n° 13 ad art. 227 CPP qui cite par exemple l'administration nécessaire de preuves, une demande de prolongation peu claire et/ou la présence d'autres complications).</w:t>
      </w:r>
    </w:p>
    <w:p>
      <w:r>
        <w:rPr>
          <w:b/>
        </w:rPr>
        <w:t>E. 2.2</w:t>
      </w:r>
    </w:p>
    <w:p>
      <w:r>
        <w:t>Quoi qu'en pense le recourant, le fait qu'il a renoncé à se faire entendre par le Tmc avant que celui-ci ne statue sur son placement en détention provisoire ne commande pas de déroger à la règle de l' art. 226 al. 7 CPP et de lui accorder un droit à obtenir une audience lors de la prolongation de sa détention provisoire. L'absence de son avocat à son audition du 24 mai 2018 relative à sa demande de libération ne permet pas une autre appréciation. Pour le reste, le recourant se contente d'invoquer, à l'appui de son grief, la mise en détention de C.________ et D.________ à titre d'éléments nouveaux. Il ne prend toutefois pas la peine d'expliquer en quoi ces éléments seraient déterminants, en particulier pour se prononcer sur le risque de fuite retenu par l'instance précédente. Dans ces circonstances, l'appréciation de l'instance précédente qui tient les motifs invoqués à l'appui de la demande pour impropres à justifier la tenue d'une audience, n'apparaît pas critiquable.</w:t>
      </w:r>
    </w:p>
    <w:p>
      <w:r>
        <w:rPr>
          <w:b/>
        </w:rPr>
        <w:t>E. 3</w:t>
      </w:r>
    </w:p>
    <w:p>
      <w:r>
        <w:t>Le recourant ne remet pas en cause l'existence de charges suffisantes pesant à son encontre ( art. 221 al. 1 CPP ). Il reproche en revanche, en substance, à l'autorité précédente d'avoir retenu l'existence d'un risque de fuite, sans mesure de substitution possible.</w:t>
      </w:r>
    </w:p>
    <w:p>
      <w:r>
        <w:rPr>
          <w:b/>
        </w:rPr>
        <w:t>E. 3.1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w:t>
      </w:r>
    </w:p>
    <w:p>
      <w:r>
        <w:rPr>
          <w:b/>
        </w:rPr>
        <w:t>E. 3.1.1</w:t>
      </w:r>
    </w:p>
    <w:p>
      <w:r>
        <w:t>En l'espèce, le Juge unique a relevé, dans son ordonnance du 27 juin 2018 - à laquelle il a renvoyé dans la mesure où le recourant n'avait pas invoqué d'éléments nouveaux - que les contacts à l'étranger du recourant étaient très forts dès lors qu'il est né en Macédoine en 1990, qu'il a la nationalité macédonienne, qu'il a encore ses parents dans ce pays où il a séjourné pour la dernière fois trois semaines seulement avant son arrestation le 16 novembre 2017; il a en outre vécu en Italie avant 2012 et il a une soeur et un frère dans ce pays où il s'est rendu en octobre 2014 et octobre 2017. Le Juge unique a en revanche considéré que les liens avec la Suisse étaient relativement ténus, même s'il est titulaire d'un permis C, s'il a son amie (au bénéfice également d'une telle autorisation d'établissement), sa fille, une soeur et un oncle en Suisse et s'il semble pouvoir retrouver du travail en cas de remise en liberté. En effet, il a relevé que le recourant séjournait en Suisse depuis seulement 6 ans et demi, contre 21 ans à l'étranger. Selon l'instance précédente, compte tenu de l'importance de la peine privative de liberté dont le recourant était menacé, le risque de fuite était, au vu des considérations qui précèdent, très élevé.</w:t>
      </w:r>
    </w:p>
    <w:p>
      <w:r>
        <w:rPr>
          <w:b/>
        </w:rPr>
        <w:t>E. 3.1.2</w:t>
      </w:r>
    </w:p>
    <w:p>
      <w:r>
        <w:t>Le recourant reproche tout d'abord à l'autorité précédente d'avoir renvoyé, à titre de motivation, aux considérants de son ordonnance du 27 juin 2018. Sa critique peut être rejetée. En effet, le renvoi à des décisions précédentes afin de motiver un jugement est admissible en matière de détention provisoire à condition que les motifs auxquels il est renvoyé soient développés de manière suffisante au vu des exigences de l' art. 29 al. 2 Cst. et que le recourant ait pu faire valoir efficacement ses objections, ce qui était encore le cas en l'espèce (cf. ATF 114 Ia 281 consid. 4c p. 285; arrêts 1B_247/2015 du 4 août 2015 consid. 2; 1B_295/2014 du 23 septembre 2014 consid. 2.3).</w:t>
      </w:r>
    </w:p>
    <w:p>
      <w:r>
        <w:t>S'agissant du risque de récidive, le recourant peut certes se prévaloir de certaines attaches avec la Suisse dès lors qu'il y vit depuis fin 2011, tout comme son amie actuelle (au bénéfice d'un permis C) ainsi que plusieurs membres de sa famille, et en particulier sa fille mineure (dont il n'avait toutefois pas la garde); de plus, l'entreprise E.________ serait prête à l'engager à sa libération. Cela étant, comme relevé par l'instance précédente, il a également des liens étroits avec l'étranger, en particulier la Macédoine puisqu'il est macédonien, qu'il est né dans ce pays où vivent encore ses parents, et qu'il y est retourné à plusieurs reprises, notamment peu avant son arrestation. De plus, le recourant, impliqué dans un trafic de stupéfiants, est exposé à une peine privative de liberté importante au vu de la quantité de cocaïne en cause. En effet, sur ce point, le Juge unique a constaté - sans que cela ne soit contesté par le recourant - que celui-ci avait admis avoir reçu 969 g de cocaïne pure. Or, le cas est considéré comme grave au sens de l' art. 19 al. 2 let. a LStup à partir de 18 g de cocaïne pure (cf. ATF 138 IV 100 consid. 3.2 p. 103; arrêt 1B_189/2016 du 13 juin 2016 consid. 5) et le code prévoit une peine minimale d'un an pour une telle infraction ( art. 19 al. 2 LStup ); il sied en outre de relever que des mesures d'instruction sont encore en cours afin de déterminer l'étendue exacte du trafic de cocaïne reproché à l'intéressé. En l'occurrence, il est donc manifeste que l'intéressé encourt une importante peine privative de liberté, ce qui pourrait l'inciter à faire certains sacrifices pour y échapper. Sur ce point on ne saurait suivre le recourant lorsqu'il soutient de manière péremptoire qu'en cas de condamnation il n'aurait plus que quelques mois de prison, voire quelques jours à effectuer. Au vu des éléments précités, l'instance précédente n'a pas violé le droit fédéral en retenant l'existence d'un risque de fuite. Quoi qu'en pense le recourant, celle-ci n'a pas fondé son appréciation uniquement sur la gravité de l'infraction qui lui est reprochée, mais sur l'ensemble des circonstances précitées.</w:t>
      </w:r>
    </w:p>
    <w:p>
      <w:r>
        <w:rPr>
          <w:b/>
        </w:rPr>
        <w:t>E. 3.2</w:t>
      </w:r>
    </w:p>
    <w:p>
      <w:r>
        <w:t>Le recourant considère que le risque de fuite pourrait être pallié par des mesures de substitution à la détention provisoire.</w:t>
      </w:r>
    </w:p>
    <w:p>
      <w:r>
        <w:rPr>
          <w:b/>
        </w:rPr>
        <w:t>E. 3.2.1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et l'interdiction d'entretenir des relations avec certaines personnes (let. g).</w:t>
      </w:r>
    </w:p>
    <w:p>
      <w:r>
        <w:t>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(cf. ATF 105 Ia 186 consid. 4a p. 187; plus récemment arrêts 1B_107/2015 du 21 avril 2015 consid. 3.3; 1B_274/2014 du 26 août 2014 consid. 3.3). Il convient également de faire preuve de prudence quant à l'origine des fonds proposés comme sûretés (arrêt 1B_107/2015 du 21 avril 2015 consid. 3.3 et les réf. cit.).</w:t>
      </w:r>
    </w:p>
    <w:p>
      <w:r>
        <w:rPr>
          <w:b/>
        </w:rPr>
        <w:t>E. 3.2.2</w:t>
      </w:r>
    </w:p>
    <w:p>
      <w:r>
        <w:t>Le recourant soutient que la fourniture d'une caution de 10'000 fr. (somme réunie par sa famille), le dépôt de ses documents d'identité et autres document officiels, l'obligation de se présenter deux fois par semaine à la police cantonale, l'interdiction d'entretenir des relations avec les personnes impliquées dans le cadre de la présente enquête et l'obligation d'avoir un travail régulier auprès de l'entreprise E.________ constitueraient des mesures de substitution suffisantes pour pallier le risque de fuite.</w:t>
      </w:r>
    </w:p>
    <w:p>
      <w:r>
        <w:t>A l'appui de ce moyen, le recourant reproche à l'instance précédente d'avoir simplement affirmé, dans l'ordonnance attaquée, que "l'assignation à un territoire donné et l'interdiction de pénétrer un certain périmètre, telles que proposées par le recourant, n'entrent pas non plus en considération, au vu du danger très élevé de fuite" et d'avoir ensuite mentionné qu'aucune mesure de substitution n'était apte à parer au risque de fuite. Il fait en outre à nouveau grief à l'instance précédente d'avoir contrevenu à son obligation de motiver (cf. art. 80 al. 2 CPP ). Ce faisant, le recourant perd de vue que le Juge unique a renvoyé à son ordonnance du 27 juin 2018 s'agissant des arguments du recourant qu'il avait déjà examinés à cette occasion; il s'est ainsi référé au considérant 5.2 de l'ordonnance précitée concernant les mesures de substitution proposées. Comme évoqué précédemment, ce procédé est admissible (consid. 3.1.2).</w:t>
      </w:r>
    </w:p>
    <w:p>
      <w:r>
        <w:t>Le recourant persiste à proposer la fourniture d'une caution de 10'000 fr., laquelle serait versée par sa famille. Selon lui, ce montant constituerait un frein suffisant pour éviter toute velléité de fuite, compte tenu de sa situation financière (absence de revenu depuis plus d'un an) et du fait qu'elle serait versée par ses proches. Ces éléments ne permettent cependant pas de remettre en cause l'appréciation du Juge unique qui a considéré, dans son ordonnance du 27 juin 2018, que la somme de 10'000 fr., offerte à titre de sûretés, était manifestement insuffisante, au vu notamment de la gravité des actes qui lui étaient reproché s et du chiffre d'affaire très élevé qu'il avait réalisé, à en croire les propres aveux du recourant. Le recourant ne transmet en outre aucune indication sur la capacité financière de ses proches ni sur l'origine des fonds. Or, il lui incombait de transmettre à l'autorité compétente tous les éléments permettant d'évaluer le caractère approprié des sûretés qu'il pourrait offrir à ce stade de la procédure (arrêt 1B_439/2016 du 8 décembre 2016 consid. 2.3), ce qu'il n'a pas fait.</w:t>
      </w:r>
    </w:p>
    <w:p>
      <w:r>
        <w:t>Quant aux autres mesures de substitution proposées, l'instance précédente a estimé - dans son ordonnance précédente à laquelle elle a renvoyé - qu'elles étaient insuffisantes pour remédier au risque de fuite. En l'occurrence le recourant n'apporte aucun élément permettant une appréciation différente, laquelle conserve toute sa pertinence. En effet, la saisie des documents d'identité ou autres documents officiels du recourant, tout comme l'assignation à résidence, même assortie d'une surveillance électronique, ne peuvent pas empêcher celui-ci de passer la frontière, au vu du peu de difficulté à quitter la Suisse sans papiers (cf. arrêts 1B_386/2015 du 18 novembre 2015 consid. 2.4; 1B_513/2012 du 2 octobre 2012 consid. 3.3 et les références citées). Il en va de même de l'obligation de se présenter à un service administratif, qui n'est pas de nature à empêcher une personne dans la situation du recourant de s'enfuir à l'étranger, mais permet uniquement de constater la fuite, après sa survenance (cf. arrêts 1B_545/2017 du 18 janvier 2018 consid. 3.2; 1B_386/2015 du 18 novembre 2015 consid. 2.4). Quant à l'obligation d'avoir un travail régulier, elle ne garantit pas la présence du recourant en Suisse.</w:t>
      </w:r>
    </w:p>
    <w:p>
      <w:r>
        <w:t>En définitive, l'instance précédente n'a pas violé le droit fédéral en considérant que les mesures de substitution proposées par l'intéressé n'étaient pas propres à limiter de façon déterminante le risque de fuite qu'il présentait.</w:t>
      </w:r>
    </w:p>
    <w:p>
      <w:r>
        <w:t>Pour le surplus, le recourant se prévaut en vain du fait que deux autres prévenus auraient été remis en liberté, moyennant le prononcé de mesures de substitution, les 14 mars et 15 mai 2018. Comme relevé par le Juge unique, l'appréciation du risque de fuite dépend de divers critères, tels que le caractère de l'intéressé, sa moralité, ses ressources, ses liens avec l'Etat qui le poursuit, ses contacts à l'étranger, ainsi que la gravité des infractions en cause, qui rendent toute comparaison pour le moins hasardeuse. De plus, l'instance précédente peut également être suivie lorsqu'elle affirme que le recourant n'expliquait pas en quoi sa situation serait en tous égards comparable à la leur. Le simple fait d'affirmer que ses co-prévenus étaient également étrangers et que, contrairement à lui, ils n'avaient pas de travail et que l'un deux possédait un casier judiciaire bien plus conséquent et était au service social, n'est manifestement pas suffisant.</w:t>
      </w:r>
    </w:p>
    <w:p>
      <w:r>
        <w:rPr>
          <w:b/>
        </w:rPr>
        <w:t>E. 3.3</w:t>
      </w:r>
    </w:p>
    <w:p>
      <w:r>
        <w:t>La question du risque de collusion peut rester indécise, comme elle l'a été devant l'instance précédente, compte tenu de l'affirmation du risque de fuite.</w:t>
      </w:r>
    </w:p>
    <w:p>
      <w:r>
        <w:rPr>
          <w:b/>
        </w:rPr>
        <w:t>E. 4</w:t>
      </w:r>
    </w:p>
    <w:p>
      <w:r>
        <w:t>Invoquant une violation du principe de proportionnalité ( art. 212 al. 3 CPP ), le recourant soutient que la durée de la détention serait excessive au regard de la peine concrètement encourue.</w:t>
      </w:r>
    </w:p>
    <w:p>
      <w:r>
        <w:rPr>
          <w:b/>
        </w:rPr>
        <w:t>E. 4.1</w:t>
      </w:r>
    </w:p>
    <w:p>
      <w:r>
        <w:t>L' 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le juge de première instance ou d'appel pourrait être enclin à prendre en considération dans la fixation de la peine la durée de la détention avant jugement à imputer selon l' art. 51 CP (cf. ATF 143 IV 168 consid. 5.1 p. 173; 139 IV 270 consid. 3.1 p. 275 et les références citées).</w:t>
      </w:r>
    </w:p>
    <w:p>
      <w:r>
        <w:rPr>
          <w:b/>
        </w:rPr>
        <w:t>E. 4.2</w:t>
      </w:r>
    </w:p>
    <w:p>
      <w:r>
        <w:t>Le recourant est en détention provisoire depuis le 16 novembre 2017, soit depuis une année environ. Il est prévenu d'infraction grave à la LStup pour laquelle une peine privative de liberté d'un an au moins est prévue. Au vu de la quantité importante de drogue pure qu'il a admis avoir reçue, soit 969 g (cf. ci-dessus consid. 3.1.2), la détention subie à ce jour demeure largement proportionnée à la peine encourue concrètement en cas de condamnation. Le recourant reproche en vain dans ce contexte à l'instance précédente de ne pas avoir opéré de distinction entre la drogue qu'il aurait vendue et celle qu'il aurait simplement reçue temporairement en dépôt. En effet, quoi qu'il en soit réellement, il n'en demeure pas moins que le recourant a expressément reconnu avoir vendu 1.37 kg et offert 365 g de drogue, soit une quantité de cocaïne pure encore largement supérieure à la limite de 18 g fixée par la jurisprudence pour admettre le cas grave au sens de l' art. 19 al. 2 let. a LStup (en l'état, plus de 90 g si l'on retient, comme l'instance précédente, un taux de pureté de l'ordre de 19 %). Son grief peut donc être rejeté.</w:t>
      </w:r>
    </w:p>
    <w:p>
      <w:r>
        <w:rPr>
          <w:b/>
        </w:rPr>
        <w:t>E. 5</w:t>
      </w:r>
    </w:p>
    <w:p>
      <w:r>
        <w:t>Le recours est rejeté dans la mesure où il est recevable.</w:t>
      </w:r>
    </w:p>
    <w:p>
      <w:r>
        <w:t>Le recourant a demandé l'assistance judiciaire et les conditions en paraissent réunies ( art. 64 al. 1 LTF ). Me Olivier Couchepin est désigné comme avocat d'office du recourant, rétribué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