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508/2012 vom 29. November 2012</w:t>
      </w:r>
    </w:p>
    <w:p>
      <w:r>
        <w:t>Bundesgericht, 2012-11-29, FR</w:t>
      </w:r>
    </w:p>
    <w:p>
      <w:r>
        <w:rPr>
          <w:b/>
        </w:rPr>
        <w:t xml:space="preserve">Quelle: </w:t>
      </w:r>
      <w:r>
        <w:t>https://mcp.opencaselaw.ch/entscheid/bger_1B_508_2012</w:t>
      </w:r>
    </w:p>
    <w:p>
      <w:r>
        <w:t>FR: TF 1B 508/2012 du 29 novembre 2012</w:t>
      </w:r>
    </w:p>
    <w:p>
      <w:r>
        <w:t>IT: TF 1B 508/2012 del 29 novembre 2012</w:t>
      </w:r>
    </w:p>
    <w:p>
      <w:pPr>
        <w:pStyle w:val="Heading2"/>
      </w:pPr>
      <w:r>
        <w:t>Regeste</w:t>
      </w:r>
    </w:p>
    <w:p>
      <w:r>
        <w:t>procédure pénale, défense privée | Procédure pénale</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 décision par laquelle le juge refuse un changement de défenseur d'office constitue une décision incidente, qui ne met pas fin à la procédure ( ATF 126 I 207 consid. 1a p. 209; 111 Ia 276 consid. 2b p. 278 s.). Une telle décision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134 I 83 consid. 3.1 p. 86 s.; 133 IV 335 consid. 4 p. 338, 139 consid. 4 p. 141). Il incombe au recourant de démontrer l'existence d'un tel préjudice lorsque celui-ci n'est pas d'emblée évident ( ATF 134 III 426 consid. 1.2 p. 429; 133 II 353 consid. 1 p. 356 et les références). Selon la jurisprudence, le refus de désigner un avocat d'office au prévenu est susceptible de lui causer un dommage irréparable au sens de l' art. 93 al. 1 let. a LTF ( ATF 133 IV 335 consid. 4 p. 338; 129 I 281 consid. 1.1 p. 283; 129 I 129 consid. 1.1 p. 131). En revanche, la décision ayant pour objet de refuser un changement de défenseur d'office n'entraîne en principe aucun préjudice juridique, car le prévenu continue d'être assisté par le défenseur désigné et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ou encore lorsque l'autorité refuse arbitrairement de tenir compte des v?ux émis par la partie assistée (arrêts 1B_74/2008 du 18 juin 2008 consid. 2; 1B_245/2008 du 11 novembre 2008 consid. 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114 Ia 101 consid. 3 p. 104; arrêt 6B_770/2011 du 12 juillet 2012 consid. 2.4 destiné à la publication).</w:t>
      </w:r>
    </w:p>
    <w:p>
      <w:r>
        <w:rPr>
          <w:b/>
        </w:rPr>
        <w:t>E. 1.2</w:t>
      </w:r>
    </w:p>
    <w:p>
      <w:r>
        <w:t>En l'occurrence, le recourant n'invoque aucun motif qui justifierait un changement d'avocat d'office. Il prétend en revanche qu'il y a eu "révocation de facto de la nomination d'office de Me B.________" à compter du moment où les actes de procédure ont été notifiés à sa nouvelle avocate de choix. Certes, le Ministère public a pris acte de la décision du recourant de mandater une avocate de choix et d'élire domicile chez cette dernière. Il n'en demeure pas moins que le mandat de l'avocat d'office n'a jamais été révoqué et que le Ministère public n'a pas laissé entendre qu'il le serait. Au contraire, par courrier du 10 février 2012, il a rendu le recourant attentif au fait que son défenseur d'office était Me B.________ et que tout changement d'avocat d'office devait être fondé sur de justes motifs, que le recourant était invité à préciser. Aucune réponse n'a été donnée à ce courrier, qui a pourtant été notifié aux deux avocats concernés. Dans ces conditions, le recourant ne saurait s'étonner du refus d'accorder l'assistance judiciaire pour rémunérer son avocate de choix, alors même qu'un avocat d'office lui avait été désigné et que le mandat de celui-ci n'avait pas été remis en cause. Quoi qu'il en soit, cette décision n'a en tout cas pas eu pour effet de priver le recourant de l'assistance effective d'un avocat, de sorte qu'elle ne lui cause pas de préjudice irréparable au sens de la jurisprudence susmentionnée.</w:t>
      </w:r>
    </w:p>
    <w:p>
      <w:r>
        <w:rPr>
          <w:b/>
        </w:rPr>
        <w:t>E. 2</w:t>
      </w:r>
    </w:p>
    <w:p>
      <w:r>
        <w:t>Il s'ensuit que le recours doit être déclaré irrecevable. Il n'y a pas lieu d'accorder l'assistance judiciaire, dès lors que les conclusions du recours apparaissaient d'emblée vouées à l'échec ( art. 64 al. 1 LTF ). Le recourant étant dans le besoin, il se justifie néanmoins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