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507/2020 vom 8. Februar 2021</w:t>
      </w:r>
    </w:p>
    <w:p>
      <w:r>
        <w:t>Bundesgericht, 2021-02-08, FR</w:t>
      </w:r>
    </w:p>
    <w:p>
      <w:r>
        <w:rPr>
          <w:b/>
        </w:rPr>
        <w:t xml:space="preserve">Quelle: </w:t>
      </w:r>
      <w:r>
        <w:t>https://mcp.opencaselaw.ch/entscheid/bger_1B_507_2020</w:t>
      </w:r>
    </w:p>
    <w:p>
      <w:r>
        <w:t>FR: TF 1B 507/2020 du 8 février 2021</w:t>
      </w:r>
    </w:p>
    <w:p>
      <w:r>
        <w:t>IT: TF 1B 507/2020 del 8 febbraio 2021</w:t>
      </w:r>
    </w:p>
    <w:p>
      <w:pPr>
        <w:pStyle w:val="Heading2"/>
      </w:pPr>
      <w:r>
        <w:t>Regeste</w:t>
      </w:r>
    </w:p>
    <w:p>
      <w:r>
        <w:t>Procédure pénale; qualité de partie plaignante | Procédure pénale</w:t>
      </w:r>
    </w:p>
    <w:p>
      <w:pPr>
        <w:pStyle w:val="Heading2"/>
      </w:pPr>
      <w:r>
        <w:t>Erwägungen</w:t>
      </w:r>
    </w:p>
    <w:p>
      <w:r>
        <w:rPr>
          <w:b/>
        </w:rPr>
        <w:t>E. 1</w:t>
      </w:r>
    </w:p>
    <w:p>
      <w:r>
        <w:t>Les recours sont dirigés contre deux décisions distinctes rendues par la Chambre pénale de recours de la Cour de justice de la République et canton de Genève. Ils émanent toutefois de la même partie recourante, relèvent d'un même complexe de faits et portent sur des questions juridiques analogues. Il y a, partant, lieu de joindre les causes 1B_507/2020 et 1B_508/2020 et de les traiter dans un seul arrêt, par économie de procédure ( art. 24 al. 2 PCF [RS 273], applicable en vertu du renvoi de l' art. 71 LTF ).</w:t>
      </w:r>
    </w:p>
    <w:p>
      <w:r>
        <w:rPr>
          <w:b/>
        </w:rPr>
        <w:t>E. 2</w:t>
      </w:r>
    </w:p>
    <w:p>
      <w:r>
        <w:t>Le Tribunal fédéral examine d'office et librement la recevabilité des recours qui lui sont soumis ( ATF 145 V 380 consid. 1 p. 382; 144 V 280 consid. 1 p. 282).</w:t>
      </w:r>
    </w:p>
    <w:p>
      <w:r>
        <w:rPr>
          <w:b/>
        </w:rPr>
        <w:t>E. 2.1</w:t>
      </w:r>
    </w:p>
    <w:p>
      <w:r>
        <w:t>La décision attaquée dans la cause 1B_507/2020 (arrêt ACPR/571/2020 du 28 août 2020) a été rendue dans le cadre d'une procédure pénale par une juridiction statuant en tant que dernière instance cantonale et peut donc faire l'objet d'un recours en matière pénale au sens des art. 78 ss LTF . Le recourant se voit dénier la qualité de partie plaignante et se trouve dès lors définitivement écarté de la procédure pénale. Le prononcé entrepris revêt donc à son encontre les traits d'une décision finale au sens de l' art. 90 LTF ( ATF 139 IV 310 consid. 1 p. 312). Eu égard au statut de partie plaignante qui lui est refusé, le recourant se plaint d'une violation de ses droits de partie et dispose ainsi de la qualité pour recourir au Tribunal fédéral, indépendamment des éventuelles conclusions civiles qu'il pourrait faire valoir ( art. 81 LTF ; ATF 141 IV 1 consid. 1.1 et 1.2 p. 5; arrêt 1B_40/2020 du 18 juin 2020 consid. 1). Pour le surplus, le recours a été déposé en temps utile ( art. 100 al. 1 LTF ) et les conclusions prises sont recevables ( art. 107 al. 2 LTF ). Partant, il y a lieu d'entrer en matière sur le recours formé dans la cause 1B_507/2020.</w:t>
      </w:r>
    </w:p>
    <w:p>
      <w:r>
        <w:rPr>
          <w:b/>
        </w:rPr>
        <w:t>E. 2.2</w:t>
      </w:r>
    </w:p>
    <w:p>
      <w:r>
        <w:t>Au surplus, vu l'issue de ce recours, il n'y a pas lieu de déterminer si celui faisant l'objet de la cause 1B_508/2020 est également recevable (cf. infra consid. 4).</w:t>
      </w:r>
    </w:p>
    <w:p>
      <w:r>
        <w:rPr>
          <w:b/>
        </w:rPr>
        <w:t>E. 3</w:t>
      </w:r>
    </w:p>
    <w:p>
      <w:r>
        <w:t>Se prévalant des art. 115 et 118 CPP , le recourant se plaint que la cour cantonale ne lui a pas reconnu la qualité de partie plaignante.</w:t>
      </w:r>
    </w:p>
    <w:p>
      <w:r>
        <w:rPr>
          <w:b/>
        </w:rPr>
        <w:t>E. 3.1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145 IV 491 consid. 2.3 p. 495; 143 IV 77 consid. 2.2 p. 78; 141 IV 454 consid. 2.3.1 p. 457). L' 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(arrêts 1B_40/2020 du 18 juin 2020 consid. 3; 1B_576/2018 du 26 juillet 2019 consid. 2.3 et les références citées). En règle générale, seul peut se prévaloir d'une atteinte directe le titulaire du bien juridique protégé par la disposition pénale qui a été enfreinte ( ATF 141 IV 454 consid. 2.3.1 p. 457; 141 IV 1 consid. 4.1 p. 5; 138 IV 258 consid. 2.3 p. 263). Les droits touchés sont les biens juridiques individuels tels que la vie et l'intégrité corporelle, la propriété, l'honneur, etc. ( ATF 141 IV 1 consid. 3.1 p. 5). Pour être directement touché, le lésé doit en outre subir une atteinte en rapport de causalité directe avec l'infraction poursuivie, ce qui exclut les dommages par ricochet (arrêts 6B_608/2020 du 4 décembre 2020 consid. 3.1; 6B_1050/2019 du 20 novembre 2019 consid. 1.2).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 arrêts 6B_608/2020 du 4 décembre 2020 consid. 3.1; 6B_655/2019 du 12 juillet 2019 consid. 4.1).</w:t>
      </w:r>
    </w:p>
    <w:p>
      <w:r>
        <w:rPr>
          <w:b/>
        </w:rPr>
        <w:t>E. 3.2</w:t>
      </w:r>
    </w:p>
    <w:p>
      <w:r>
        <w:t>Dans les considérants de l'arrêt attaqué, la cour cantonale s'est référée à son précédent arrêt du 18 décembre 2017, par lequel elle avait dénié au recourant la qualité de lésé et par conséquent également celle de partie plaignante dans la procédure pénale. Elle a en particulier rappelé que le seul statut d'héritier réservataire de feu son père F.________ ne permettait pas, à lui seul, au recourant de justifier de la qualité de lésé au sens de l' art. 115 CPP . Ainsi, une éventuelle obligation de restitution, à laquelle l'intimé C.________ serait tenu dès lors qu'il aurait bénéficié de libéralités prévues par des dispositions pour cause de mort portant atteinte à la réserve légale du recourant - ce qui n'était en l'état pas établi -, constituait un aspect du litige relevant uniquement du droit civil (cf. arrêt attaqué, consid. 2.2.1 p. 23). En outre, les éléments nouveaux apportés par le recourant à l'appui de sa requête de reprise de la procédure ne permettaient pas de remettre en cause la capacité de discernement de F.________ entre 2000 et 2005 et à cet égard le caractère librement consenti de son testament olographe du 25 novembre 2003, par lequel il avait institué l'intimé C.________ comme héritier universel de tout son patrimoine, à l'exception de certains éléments de fortune laissés à son fils unique (en l'occurrence le recourant) et à son épouse. Dans ce contexte, il n'apparaissait pas, en substance, que les éléments constitutifs des infractions dénoncées par le recourant (escroquerie, abus de confiance et gestion déloyale) étaient réunis, ni a fortiori que le recourant était susceptible de revêtir la qualité de lésé s'agissant de ces infractions (cf. arrêt attaqué, consid. 2.2.2 - 2.2.5 p. 24 ss).</w:t>
      </w:r>
    </w:p>
    <w:p>
      <w:r>
        <w:rPr>
          <w:b/>
        </w:rPr>
        <w:t>E. 3.3</w:t>
      </w:r>
    </w:p>
    <w:p>
      <w:r>
        <w:t>Le recourant reproche en premier lieu à la cour cantonale d'avoir examiné la cause à l'aune des conditions d'une reprise de la procédure préliminaire au sens de l' art. 323 al. 1 CPP - conditions qui n'étaient selon les juges cantonaux pas réunies (cf. arrêt attaqué, consid. 2.2.2 p. 25) -, alors que la reprise de la procédure n'avait pas été contestée par les parties. Outre une violation de l' art. 323 al. 1 CPP , il invoque à cet égard une violation de son droit d'être entendu ainsi que de diverses dispositions du CPP (art. 309 al. 3, 385 al. 1 let. a, 391 et 393 al. 2 CPP).</w:t>
      </w:r>
    </w:p>
    <w:p>
      <w:r>
        <w:rPr>
          <w:b/>
        </w:rPr>
        <w:t>E. 3.3.1</w:t>
      </w:r>
    </w:p>
    <w:p>
      <w:r>
        <w:t>Selon l' art. 323 al. 1 CPP ,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Ces deux conditions doivent être cumulativement remplies. Saisie d'un recours contre une décision ou un acte de procédure visé par l' art. 393 al. 1 let. a CPP , l'autorité de recours dispose d'un plein pouvoir d'examen en fait et en droit ( art. 393 al. 2 CPP ; arrêts 1B_377/2020 du 2 décembre 2020 consid. 2.3; 1B_768/2012 du 15 janvier 2013 consid. 2.1 publié in forum poenale 2014 p. 26). En outre, selon l' art. 391 al. 1 CPP , lorsqu'elle rend sa décision l'autorité de recours n'est liée ni par les motifs invoqués par les parties (let. a), ni par les conclusions des parties, sauf lorsqu'elle statue sur une action civile (let. b).</w:t>
      </w:r>
    </w:p>
    <w:p>
      <w:r>
        <w:rPr>
          <w:b/>
        </w:rPr>
        <w:t>E. 3.3.2</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143 IV 380 consid. 1.1 p. 382; 140 I 285 consid. 6.3.1 p. 298 s. et les arrêts cités). Le droit d'être entendu se rapporte ainsi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145 I 167 consid. 4.1 p. 171 et les références citées; arrêt 6B_196/2020 du 14 octobre 2020 consid. 2.1).</w:t>
      </w:r>
    </w:p>
    <w:p>
      <w:r>
        <w:rPr>
          <w:b/>
        </w:rPr>
        <w:t>E. 3.3.3</w:t>
      </w:r>
    </w:p>
    <w:p>
      <w:r>
        <w:t>Il est donné acte au recourant qu'à teneur de l'ordonnance attaquée du 12 février 2020 et des conclusions prises par l'intimé B.________ dans son recours contre cette ordonnance, l'objet du litige présenté à la cour cantonale se limitait à la détermination de la qualité de partie plaignante du recourant, sans que les intimés eussent apparemment remis en cause la reprise de la procédure d'une manière ou d'une autre, en exigeant par exemple une notification formelle à cet égard (cf. art. 323 al. 2 CPP ). Il faut néanmoins prendre en considération que le dispositif de l'arrêt attaqué porte uniquement sur l'annulation de l'ordonnance du 12 février 2020 admettant la qualité de partie plaignante du recourant. L'arrêt attaqué n'a ainsi pas pour effet d'invalider la reprise de la procédure que le Ministère public semble avoir de facto opérée, après la requête du recourant en ce sens, en procédant notamment aux auditions des intimés.</w:t>
      </w:r>
    </w:p>
    <w:p>
      <w:r>
        <w:rPr>
          <w:b/>
        </w:rPr>
        <w:t>E. 3.3.4</w:t>
      </w:r>
    </w:p>
    <w:p>
      <w:r>
        <w:t>Il n'est pas déterminant dans ce contexte qu'aux yeux de la cour cantonale les conditions d'une reprise de la procédure au sens de l' art. 323 al. 1 CPP n'eussent pas été réunies en l'espèce. Au moment d'examiner si le recourant disposait de la qualité de partie plaignante au regard des art. 115 et 118 CPP , les juges cantonaux pouvaient en effet reprendre le même raisonnement qu'ils avaient déjà développé sur cette même question dans leur précédente décision (cf. arrêt du 18 décembre 2017 consid. 3.3) et examiner, en référence à l' art. 323 al. 1 CPP , si des faits nouveaux, rendus suffisamment vraisemblables par le recourant, étaient propres à modifier ce raisonnement (cf. arrêt attaqué, consid. 2.2 p. 22 s.). Au-delà du bien-fondé de l'appréciation de la cour cantonale quant aux éléments pris en considération pour dénier au recourant la qualité litigieuse, qui sera examinée ci-après (cf. consid. 3.4 et 3.5), la pertinence d'une telle approche n'est pas contestable. Sont vaines dans ce contexte les critiques du recourant en lien avec l'absence de motifs s'opposant à la reprise de la procédure et le pouvoir de cognition de l'autorité de recours à cet égard.</w:t>
      </w:r>
    </w:p>
    <w:p>
      <w:r>
        <w:rPr>
          <w:b/>
        </w:rPr>
        <w:t>E. 3.3.5</w:t>
      </w:r>
    </w:p>
    <w:p>
      <w:r>
        <w:t>En outre, dès lors que le recourant n'ignorait pas les motifs qui avaient conduit la cour cantonale, dans son précédent arrêt du 18 décembre 2017, à lui dénier la qualité de partie plaignante, on ne voit pas non plus que l'autorité était tenue de lui soumettre par avance, pour prise de position, le raisonnement qu'elle entendait tenir. Le grief tiré d'une violation du droit d'être entendu, mal fondé, doit être rejeté.</w:t>
      </w:r>
    </w:p>
    <w:p>
      <w:r>
        <w:rPr>
          <w:b/>
        </w:rPr>
        <w:t>E. 3.4</w:t>
      </w:r>
    </w:p>
    <w:p>
      <w:r>
        <w:t>Le recourant soutient par ailleurs que l'appréciation de la cour cantonale est entachée d'un établissement manifestement inexact des faits.</w:t>
      </w:r>
    </w:p>
    <w:p>
      <w:r>
        <w:rPr>
          <w:b/>
        </w:rPr>
        <w:t>E. 3.4.1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145 IV 154 consid. 1.1 p. 155 s.; 143 IV 500 consid. 1.1 p. 503).</w:t>
      </w:r>
    </w:p>
    <w:p>
      <w:r>
        <w:rPr>
          <w:b/>
        </w:rPr>
        <w:t>E. 3.4.2</w:t>
      </w:r>
    </w:p>
    <w:p>
      <w:r>
        <w:t>Le recourant explique avoir obtenu à l'issue d'une procédure de reddition de comptes introduite contre la banque E.________, puis produit le 5 août 2020 à la cour cantonale, des documents établissant que feu F.________ avait été l'ayant droit économique, jusqu'à son décès, d'une relation bancaire ouverte à la banque E.________ au nom de H.________ SA. Il entend démontrer que cette circonstance, dont la cour cantonale aurait arbitrairement omis de tenir compte, l'habilite à se plaindre, en sa qualité d'héritier réservataire de son père, d'actes de gestion déloyale commis au détriment de ce dernier dans le cadre de la gestion de H.________ SA. Ce faisant, en tant que le recourant se prévaut à cet égard qu'entre 2007 et 2015, l'intimé B.________ aurait effectué des retraits en espèces sur le compte bancaire de H.________ SA pour un total de 351'800 EUR, encaissé des honoraires pour 403'309 fr. 55 et ordonné des paiements à des tiers pour des montants de 440'000 USD, 38'000 EUR et 96'000 GBP, ses explications ne permettent pas pour autant de rendre vraisemblable que son père - ou le recourant lui-même en sa qualité d'héritier réservataire (cf. art. 121 al. 1 CPP ) - pourrait avoir personnellement été lésé en raison d'actes relevant d'une gestion déloyale ( art. 158 ch. 1 CP ), alors que, lorsqu'une infraction est perpétrée au détriment d'une personne morale, seule celle-ci subit un dommage et peut donc prétendre à la qualité de lésée, à l'exclusion par exemple de ses actionnaires et de ses ayants droit économiques (cf. les références citées supra sous consid. 3.1).</w:t>
      </w:r>
    </w:p>
    <w:p>
      <w:r>
        <w:rPr>
          <w:b/>
        </w:rPr>
        <w:t>E. 3.4.3</w:t>
      </w:r>
    </w:p>
    <w:p>
      <w:r>
        <w:t>De surcroît, s'agissant des infractions d'abus de confiance ( art. 138 CP ) et d'escroquerie ( art. 146 CP ), le recourant ne s'en prend nullement à l'appréciation opérée par la cour cantonale. Dans ses considérants, celle-ci s'est à cet égard attachée à l'absence d'éléments, dans les factures et certificats médicaux nouvellement produits par le recourant, rendant suffisamment vraisemblable que F.________ s'était trouvé entre 2000 et 2005 dans un quelconque état de démence, dont les intimés auraient profité pour obtenir des faveurs de sa part ou pour utiliser sans droit des valeurs patrimoniales à eux confiées (cf. arrêt attaqué, consid. 2.2.2 p. 24 s.). Or, ce point était décisif au moment de déterminer si le recourant avait été lésé en raison des infractions dénoncées. Il en allait de même des difficultés rencontrées à la même période avec les administrateurs de H.________, difficultés qui soulignaient le caractère impétueux de F.________, mais pas sa faiblesse d'esprit (cf. arrêt attaqué, ibidem).</w:t>
      </w:r>
    </w:p>
    <w:p>
      <w:r>
        <w:rPr>
          <w:b/>
        </w:rPr>
        <w:t>E. 3.5</w:t>
      </w:r>
    </w:p>
    <w:p>
      <w:r>
        <w:t>La cour cantonale pouvait dans ce contexte considérer que les éléments avancés par le recourant ne permettaient pas en l'état de supposer que les malversations dénoncées procédaient d'actes pénalement répréhensibles par lesquels son père ou lui-même aurait été lésé. En particulier, en l'absence d'éléments attestant, quant à la personne de F.________, d'une atteinte aux fonctions intellectuelles entre 2000 et 2005, soit lorsque la plupart des transferts dénoncés avait eu lieu, les circonstances ne permettent pas d'en déduire, à ce stade de la procédure, que le recourant a été lésé par des procédés astucieux, mis en oeuvre par les intimés, consistant à profiter de l'état de santé prétendument dégradé de F.________ pour obtenir des faveurs de sa part. Aucun élément ne laisse non plus supposer à cet égard une utilisation sans droit de valeurs qui auraient été confiées aux intimés.</w:t>
      </w:r>
    </w:p>
    <w:p>
      <w:r>
        <w:rPr>
          <w:b/>
        </w:rPr>
        <w:t>E. 3.6</w:t>
      </w:r>
    </w:p>
    <w:p>
      <w:r>
        <w:t>La cour cantonale n'a ainsi pas violé les art. 115 et 118 CPP en déniant au recourant la qualité de partie plaignante. Le recours formé dans la cause 1B_507/2020 doit par conséquent être rejeté.</w:t>
      </w:r>
    </w:p>
    <w:p>
      <w:r>
        <w:rPr>
          <w:b/>
        </w:rPr>
        <w:t>E. 4</w:t>
      </w:r>
    </w:p>
    <w:p>
      <w:r>
        <w:t>S'agissant par ailleurs du recours formé dans la cause 1B_508/2020, comme le recourant ne dispose pas de la qualité de partie plaignante dans la procédure pénale, la cour cantonale n'a pas violé l' art. 382 al. 1 CPP en estimant qu'il n'avait pas la qualité pour recourir contre l'ordonnance du Ministère public du 12 février 2020 prononçant la suspension de la procédure. Il s'ensuit que ce recours doit être rejeté dans la mesure de sa recevabilité.</w:t>
      </w:r>
    </w:p>
    <w:p>
      <w:r>
        <w:rPr>
          <w:b/>
        </w:rPr>
        <w:t>E. 5</w:t>
      </w:r>
    </w:p>
    <w:p>
      <w:r>
        <w:t>Les frais judiciaires sont mis à la charge du recourant, qui succombe dans chacune des causes 1B_507/2020 et 1B_508/2020 ( art. 66 al. 1 LTF ). L'intimé C.________, qui obtient gain de cause avec l'assistance d'un mandataire professionnel, a droit, pour les deux causes précitées, à des dépens à charge du recourant ( art. 68 al. 1 LTF ). Il n'y a en revanche pas lieu d'allouer de dépens à l'intimé B.________ qui, lui-même avocat, procède sans l'assistance d'un mandataire professionnel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