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1B_505/2022 vom 29. September 2022</w:t>
      </w:r>
    </w:p>
    <w:p>
      <w:r>
        <w:t>Bundesgericht, 2022-09-29, DE</w:t>
      </w:r>
    </w:p>
    <w:p>
      <w:r>
        <w:rPr>
          <w:b/>
        </w:rPr>
        <w:t xml:space="preserve">Quelle: </w:t>
      </w:r>
      <w:r>
        <w:t>https://mcp.opencaselaw.ch/entscheid/bger_1B_505_2022</w:t>
      </w:r>
    </w:p>
    <w:p>
      <w:r>
        <w:t>FR: TF 1B_505/2022 du 29 septembre 2022</w:t>
      </w:r>
    </w:p>
    <w:p>
      <w:r>
        <w:t>IT: TF 1B_505/2022 del 29 settembre 2022</w:t>
      </w:r>
    </w:p>
    <w:p>
      <w:pPr>
        <w:pStyle w:val="Heading2"/>
      </w:pPr>
      <w:r>
        <w:t>Erwägungen</w:t>
      </w:r>
    </w:p>
    <w:p>
      <w:r>
        <w:rPr>
          <w:b/>
        </w:rPr>
        <w:t>E. 1</w:t>
      </w:r>
    </w:p>
    <w:p>
      <w:r>
        <w:t>Die Staatsanwaltschaft See/Oberland führt eine Strafuntersuchung betreffend Drohung etc. gegen A.________. Dieser wurde am 30. März 2022 polizeilich festgenommen und mit Verfügung des Zwangsmassnahmengerichts des Bezirks Zürich vom 1. April 2022 in Untersuchungshaft versetzt. Mit Eingabe vom 12. Juli 2022 stellte der amtliche Verteidiger von A.________ein Gesuch um Entlassung aus der Untersuchungshaft. Das Zwangsmassnahmengericht des Bezirks Zürich wies mit Verfügung vom 21. Juli 2022 das Haftentlassungsgesuch ab und verlängerte die Untersuchungshaft bis am 20. Oktober 2022. Dagegen erhob A.________ Beschwerde, welche die III. Strafkammer des Obergerichts des Kantons Zürich mit Beschluss vom 12. August 2022 abwies. Sie bejahte dabei die Annahme von Ausführungsgefahr gemäss Art. 221 Abs. 2 StPO und erachtete die Verlängerung der Untersuchungshaft als verhältnismässig.</w:t>
      </w:r>
    </w:p>
    <w:p>
      <w:r>
        <w:rPr>
          <w:b/>
        </w:rPr>
        <w:t>E. 2</w:t>
      </w:r>
    </w:p>
    <w:p>
      <w:r>
        <w:t>A.________ führt mit Eingabe vom 12. September 2022 Beschwerde in Strafsachen. Da der angefochtene Beschluss der Beschwerde nicht beilag, forderte das Bundesgericht den Beschwerdeführer auf, diesen noch nachzureichen. Mit Eingaben vom 19. und 22. September 2022 kam A.________ dieser Aufforderung fristgemäss nach.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vermag mit seinen weitschweifigen Ausführungen nicht aufzuzeigen, inwiefern die III. Strafkammer in rechtswidriger Weise die Haftvoraussetzungen bejaht haben sollte. Er legt nicht verständlich und konkret dar,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Ausnahmsweise ist auf eine Kostenauflage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