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1B_505/2020 vom 27. Oktober 2020</w:t>
      </w:r>
    </w:p>
    <w:p>
      <w:r>
        <w:t>Bundesgericht, 2020-10-27, DE</w:t>
      </w:r>
    </w:p>
    <w:p>
      <w:r>
        <w:rPr>
          <w:b/>
        </w:rPr>
        <w:t xml:space="preserve">Quelle: </w:t>
      </w:r>
      <w:r>
        <w:t>https://mcp.opencaselaw.ch/entscheid/bger_1B_505_2020</w:t>
      </w:r>
    </w:p>
    <w:p>
      <w:r>
        <w:t>FR: TF 1B_505/2020 du 27 octobre 2020</w:t>
      </w:r>
    </w:p>
    <w:p>
      <w:r>
        <w:t>IT: TF 1B_505/2020 del 27 ottobre 2020</w:t>
      </w:r>
    </w:p>
    <w:p>
      <w:pPr>
        <w:pStyle w:val="Heading2"/>
      </w:pPr>
      <w:r>
        <w:t>Erwägungen</w:t>
      </w:r>
    </w:p>
    <w:p>
      <w:r>
        <w:rPr>
          <w:b/>
        </w:rPr>
        <w:t>E. 1.1</w:t>
      </w:r>
    </w:p>
    <w:p>
      <w:r>
        <w:t>Angefochten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durch die Anordnung der Sicherheitshaft in seinen rechtlich geschützten Interessen betroffen und damit zur Beschwerde befugt ( Art. 81 Abs. 1 BGG ).</w:t>
      </w:r>
    </w:p>
    <w:p>
      <w:r>
        <w:rPr>
          <w:b/>
        </w:rPr>
        <w:t>E. 1.2</w:t>
      </w:r>
    </w:p>
    <w:p>
      <w:r>
        <w:t>Das Bundesgericht wendet das Recht von Amtes wegen an ( Art. 106 Abs. 1 BGG ), prüft die bei ihm angefochtenen Entscheide aber grundsätzlich nur auf Rechtsverletzungen hin, die von den Beschwerdeführern geltend gemacht und begründet werden (vgl. Art. 42 Abs. 2 BGG ). Bei der vorliegenden Beschwerde handelt es sich um eine Laienbeschwerde, in welcher zumindest sinngemäss erkennbar ist, welche Rügen der Beschwerdeführer erheben will, weshalb auf die Beschwerde eingetreten werden kann.</w:t>
      </w:r>
    </w:p>
    <w:p>
      <w:r>
        <w:rPr>
          <w:b/>
        </w:rPr>
        <w:t>E. 2</w:t>
      </w:r>
    </w:p>
    <w:p>
      <w:r>
        <w:t>Untersuchungs- und Sicherheitshaft sind nur zulässig, wenn ein dringender Tatverdacht für ein Verbrechen oder ein schweres Vergehen vorliegt (Art. 221 Abs. 1 Ingress StPO) sowie ein besonderer Haftgrund besteht. Strafprozessuale Zwangsmassnahmen müssen überdies verhältnismässig sein (vgl. Art. 5 Abs. 2, Art. 36 Abs. 3 BV und Art. 197 StPO ).</w:t>
      </w:r>
    </w:p>
    <w:p>
      <w:r>
        <w:rPr>
          <w:b/>
        </w:rPr>
        <w:t>E. 2.1</w:t>
      </w:r>
    </w:p>
    <w:p>
      <w:r>
        <w:t>Wie die Vorinstanz zu Recht festhielt, ist in der Regel davon auszugehen, dass die allgemeine Haftvoraussetzung des dringenden Tatverdachts vorliegt, wenn gegen eine in Haft befindliche Person Anklage erhoben wurde (vgl. Urteil 1B_283/2016 vom 26. August 2016 E. 3 mit Hinweisen). Dass vorliegend die Annahme des dringenden Tatverdachts unhaltbar ist, weshalb ausnahmsweise von dieser Regel abzuweichen wäre, vermag der Beschwerdeführer nicht darzutun. Vielmehr gibt er zu, diverse Nachrichten an B.________ gesendet zu haben. Diese seien aber weder drohend noch einschüchternd gewesen. Entgegen der Auffassung der Staatsanwaltschaft habe er B.________ nicht aus Bosheit bzw. Mutwillen kontaktiert, um sie in Angst und Schrecken zu versetzen, sondern habe "alles versucht, um ihr Leid durch Liebe und Hoffnung zu ersetzen". Niemals würde er eine Frau bedrohen, belästigen oder nötigen. Damit bringt er aber nichts vor, was den dringenden Tatverdacht hinsichtlich der ihm vorgeworfenen Tathandlungen der angeblichen Drohung, mehrfachen versuchten Nötigung etc. dahinfallen lassen würde, sondern er zieht lediglich einen anderen Schluss aus seinen Handlungen. Soweit er überdies geltend macht, er sei auch in der "Marihuana-Angelegenheit" unschuldig zu sprechen, da die Polizei gar nicht gesehen habe, wie er einem Freund Marihuana verkauft haben soll und zudem auf den in seiner Wohnung festgestellten 70 Minigrips nur auf zwei ein Fingerabdruck von ihm gewesen sei, vermag er den dringenden Tatverdacht ebenfalls nicht zu entkräften. Diese Vorbringen werden im Übrigen, sofern sie denn zutreffen, im Rahmen der Hauptverhandlung vor dem Sachgericht zu würdigen sein. Zur Begründung des dringenden Tatverdachts reicht es im vorliegenden Verfahren aus, dass überhaupt Minigrips bei ihm gefunden wurden und diese teilweise sogar seinen Fingerabdruck aufwiesen. Denn das Bundesgericht hat zur Frage des dringenden Tatverdachts bzw. zur Schuldfrage weder ein eigentliches Beweisverfahren durchzuführen, noch dem erkennenden Strafrichter vorzugreifen (vgl. BGE 143 IV 316 E. 3.1 S. 318; Urteil 1B_329/2020 vom 15. Juli 2020 E. 2.1; je mit Hinweisen). Es verletzt folglich kein Bundesrecht, dass die Vorinstanz das Bestehen eines dringenden Tatverdachts bejahte.</w:t>
      </w:r>
    </w:p>
    <w:p>
      <w:r>
        <w:rPr>
          <w:b/>
        </w:rPr>
        <w:t>E. 2.2</w:t>
      </w:r>
    </w:p>
    <w:p>
      <w:r>
        <w:t>Zu prüfen bleibt, ob ein besonderer Haftgrund vorliegt, insbesondere der von den kantonalen Vorinstanzen bejahte Haftgrund der Fluchtgefahr.</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2.3</w:t>
      </w:r>
    </w:p>
    <w:p>
      <w:r>
        <w:t>Der Beschwerdeführer ist deutscher Staatsangehöriger. Er ist, obschon er gemäss eigenen Angaben bereits über ein Jahr in der Schweiz lebt, hier nicht gemeldet und verfügt über keine Aufenthaltsbewilligung. Zudem hat er noch im April 2020 gegenüber der Polizei angegeben, er lebe nach wie vor in Deutschland. Wenn die Vorinstanz folgerte, dadurch habe sich die Fluchtgefahr insbesondere in Form des Untertauchens manifestiert, ist dies nicht zu beanstanden. Den Akten lässt sich sodann nichts entnehmen, wonach der Beschwerdeführer in der Schweiz stark sozial verwurzelt wäre. Daran ändert auch die unsubstanziierte Behauptung seiner Verteidiger vom 31. August 2020 nichts, wonach sich der Beschwerdeführer in der Schweiz einen Freundeskreis aufgebaut habe, aktiv am gesellschaftlichen Leben teilnehme und seinen Lebensmittelpunkt von Deutschland in die Schweiz verlagert habe. Selbst wenn dem so wäre, ist nicht ersichtlich, weshalb sich der Beschwerdeführer dann in der Schweiz nicht angemeldet hat. Zudem gilt es zu berücksichtigen, dass er vor seiner Verhaftung arbeitslos war und es auch insofern an einer Verpflichtung mangelt, welche den Beschwerdeführer allenfalls dazu bewegen könnte, nicht zu fliehen bzw. unterzutauchen. Insgesamt besteht somit für den Beschwerdeführer objektiv ein starker Anreiz, sich der weiteren Strafverfolgung in der Schweiz durch Flucht in sein Heimatland Deutschland zu entziehen bzw. im Inland unterzutauchen. Dadurch könnte er die Fortführung des Verfahrens zumindest erschweren, und auch für den Vollzug einer allfälligen Freiheitsstrafe wäre ein erheblicher Zusatzaufwand zu erwarten, da sie wohl auf dem Wege der Strafübernahme in Deutschland, das seine Bürger nicht ausliefert, vollzogen werden müsste. Die blosse Versicherung des Beschwerdeführers, er sei "jederzeit postalisch oder persönlich unter seiner Adresse zu erreichen", ist jedenfalls nicht geeignet, die von der Vorinstanz bejahte Fluchtgefahr abzuwenden.</w:t>
      </w:r>
    </w:p>
    <w:p>
      <w:r>
        <w:rPr>
          <w:b/>
        </w:rPr>
        <w:t>E. 2.4</w:t>
      </w:r>
    </w:p>
    <w:p>
      <w:r>
        <w:t>Nachdem der besondere Haftgrund der Fluchtgefahr im Sinne von Art. 221 Abs. 1 lit. a StPO vorliegend gegeben ist, braucht nicht geklärt zu werden, ob auch eine Wiederholungsgefahr im Sinne von Art. 221 Abs. 1 lit. c StPO vorliegt.</w:t>
      </w:r>
    </w:p>
    <w:p>
      <w:r>
        <w:rPr>
          <w:b/>
        </w:rPr>
        <w:t>E. 2.5</w:t>
      </w:r>
    </w:p>
    <w:p>
      <w:r>
        <w:t>Die angeordnete Sicherheitshaft ist sodann bisher noch nicht unverhältnismässig. Angesichts der Straftaten, deren der Beschwerdeführer dringend verdächtig ist und der von der Staatsanwaltschaft in ihrer Anklageschrift vom 27. August 2020 beantragten bedingten Freiheitsstrafe von 10 Monaten, droht zudem noch keine Überhaft. Im Übrigen ist nicht ersichtlich, inwiefern sich die Fluchtgefahr durch Ersatzmassnahmen nach Art. 237 StPO reduzieren liesse.</w:t>
      </w:r>
    </w:p>
    <w:p>
      <w:r>
        <w:rPr>
          <w:b/>
        </w:rPr>
        <w:t>E. 3</w:t>
      </w:r>
    </w:p>
    <w:p>
      <w:r>
        <w:t>Nach dem Gesagten erweist sich die Beschwerde als unbegründet und ist abzuweisen.</w:t>
      </w:r>
    </w:p>
    <w:p>
      <w:r>
        <w:t>Bei diesem Verfahrensausgang würde der unterliegende Beschwerdeführer grundsätzlich kostenpflichtig. Aufgrund der konkreten Umstände rechtfertigt es sich indessen, ausnahmsweise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