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505/2011 vom 2. April 2012</w:t>
      </w:r>
    </w:p>
    <w:p>
      <w:r>
        <w:t>Bundesgericht, 2012-04-02, DE</w:t>
      </w:r>
    </w:p>
    <w:p>
      <w:r>
        <w:rPr>
          <w:b/>
        </w:rPr>
        <w:t xml:space="preserve">Quelle: </w:t>
      </w:r>
      <w:r>
        <w:t>https://mcp.opencaselaw.ch/entscheid/bger_1B_505_2011</w:t>
      </w:r>
    </w:p>
    <w:p>
      <w:r>
        <w:t>FR: TF 1B 505/2011 du 2 avril 2012</w:t>
      </w:r>
    </w:p>
    <w:p>
      <w:r>
        <w:t>IT: TF 1B 505/2011 del 2 aprile 2012</w:t>
      </w:r>
    </w:p>
    <w:p>
      <w:pPr>
        <w:pStyle w:val="Heading2"/>
      </w:pPr>
      <w:r>
        <w:t>Regeste</w:t>
      </w:r>
    </w:p>
    <w:p>
      <w:r>
        <w:t>Einstellung nach Ermittlungsverfahren | Strafprozess</w:t>
      </w:r>
    </w:p>
    <w:p>
      <w:pPr>
        <w:pStyle w:val="Heading2"/>
      </w:pPr>
      <w:r>
        <w:t>Erwägungen</w:t>
      </w:r>
    </w:p>
    <w:p>
      <w:r>
        <w:rPr>
          <w:b/>
        </w:rPr>
        <w:t>E. 1</w:t>
      </w:r>
    </w:p>
    <w:p>
      <w:r>
        <w:t>Die beiden Beschwerden stehen in engem sachlichem Zusammenhang und richten sich gegen zwei über weite Strecken identische Entscheide. Die Verfahren sind dementsprechend zu vereinigen.</w:t>
      </w:r>
    </w:p>
    <w:p>
      <w:r>
        <w:rPr>
          <w:b/>
        </w:rPr>
        <w:t>E. 2</w:t>
      </w:r>
    </w:p>
    <w:p>
      <w:r>
        <w:t>Das Bundesgericht beurteilt Beschwerden gegen Entscheide in Strafsachen ( Art. 78 Abs. 1 BGG ). Unzulässig ist die Beschwerde allerdings gegen Entscheide der Beschwerdekammer des Bundesstrafgerichts, sofern es sich nicht um Entscheide über Zwangsmassnahmen handelt ( Art. 79 BGG ). Soweit die Beschwerdekammer auf die Beschwerden gegen die Einstellung der Strafverfahren nicht eintrat, hat sie nicht über Zwangsmassnahmen entschieden. Dagegen ist die Beschwerde in Strafsachen ausgeschlossen. Fraglich kann nur sein, ob die Dispositiv-Ziffern 2 der angefochtenen Entscheide, mit denen die Freigabe beschlagnahmter Beweismittel und Vermögenswerte angeordnet wurden, anfechtbare Entscheide über Zwangsmassnahmen darstellen. Das ist nicht der Fall. Rechtskräftige Einstellungen kommen freisprechenden Endentscheiden gleich ( Art. 320 Abs. 4 StPO ), was auch für die Nebenpunkte solcher Entscheide gilt (Art. 320 Abs. 1 i.V.m. Art. 81 Abs. 4 lit. e StPO ). Es handelt sich bei den im Zusammenhang mit der Einstellung erfolgten Freigaben um Nebenpunkte von Endentscheiden. Diese sind als Bestandteile materieller Entscheide keine Entscheide über Zwangsmassnahmen im Sinn von Art. 79 BGG ; damit entfällt eine Anfechtbarkeit auch unter diesem Gesichtspunkt.</w:t>
      </w:r>
    </w:p>
    <w:p>
      <w:r>
        <w:rPr>
          <w:b/>
        </w:rPr>
        <w:t>E. 3</w:t>
      </w:r>
    </w:p>
    <w:p>
      <w:r>
        <w:t>Auf die Beschwerden ist nicht einzutreten. 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