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1B_503/2021 vom 9. November 2021</w:t>
      </w:r>
    </w:p>
    <w:p>
      <w:r>
        <w:t>Bundesgericht, 2021-11-09, DE</w:t>
      </w:r>
    </w:p>
    <w:p>
      <w:r>
        <w:rPr>
          <w:b/>
        </w:rPr>
        <w:t xml:space="preserve">Quelle: </w:t>
      </w:r>
      <w:r>
        <w:t>https://mcp.opencaselaw.ch/entscheid/bger_1B_503_2021</w:t>
      </w:r>
    </w:p>
    <w:p>
      <w:r>
        <w:t>FR: TF 1B_503/2021 du 9 novembre 2021</w:t>
      </w:r>
    </w:p>
    <w:p>
      <w:r>
        <w:t>IT: TF 1B_503/2021 del 9 novembre 2021</w:t>
      </w:r>
    </w:p>
    <w:p>
      <w:pPr>
        <w:pStyle w:val="Heading2"/>
      </w:pPr>
      <w:r>
        <w:t>Erwägungen</w:t>
      </w:r>
    </w:p>
    <w:p>
      <w:r>
        <w:rPr>
          <w:b/>
        </w:rPr>
        <w:t>E. 1</w:t>
      </w:r>
    </w:p>
    <w:p>
      <w:r>
        <w:t>A.________ erhob gegen die Nichtanhandnahmeverfügung der Staatsanwaltschaft Zürich-Sihl vom 17. Juni 2021 mit Eingabe vom 12. Juli 2021 Beschwerde. Dabei ersuchte er um Erstreckung der Beschwerdefrist sowie um Gewährung der unentgeltlichen Rechtspflege bzw. um Bestellung eines unentgeltlichen Rechtsbeistands. Die III. Strafkammer des Obergerichts des Kantons Zürich wies mit Verfügung vom 15. Juli 2021 das Fristerstreckungsgesuch sowie das Gesuch um Bestellung eines unentgeltlichen Rechtsbeistandes ab. Rechtsmittelfristen könnten als gesetzliche Fristen nicht erstreckt werden. Ausserdem gebe es im Strafverfahren keine Gerichtsferien. A.________ habe mit seiner Beschwerdeschrift (und mit früheren Verfahren) belegt, dass er in der Lage sei, das vorliegende Beschwerdeverfahren selbständig zu führen. Die Bestellung eines unentgeltlichen Rechtsbeistandes sei nicht notwendig. Hinsichtlich der Befreiung von Vorschuss- und Sicherheitsleistungen sowie Verfahrenskosten forderte die III. Strafkammer A.________ auf, innert 10 Tagen Belege über seine finanziellen Verhältnisse einzureichen.</w:t>
      </w:r>
    </w:p>
    <w:p>
      <w:r>
        <w:rPr>
          <w:b/>
        </w:rPr>
        <w:t>E. 2</w:t>
      </w:r>
    </w:p>
    <w:p>
      <w:r>
        <w:t>A.________ führt mit Eingabe vom 14. September 2021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in ihrer Begründung dar, weshalb sie das Fristerstreckungsgesuch sowie das Gesuch um Bestellung eines unentgeltlichen Rechtsbeistandes abwies. Der Beschwerdeführer setzt sich mit diesen Ausführungen nicht auseinander und vermag nicht im Einzelnen und konkret aufzuzeigen, dass die III. Strafkammer bei der Behandlung seiner Gesuche Recht im Sinne von Art. 42 Abs. 2 BGG verletzt hätte. Aus der Beschwerde ergibt sich nicht, inwiefern die Begründung der III.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Das sinngemäss gestellte Gesuch um unentgeltliche Rechtspflege ist abzuweisen, da sich die Beschwerde als offensichtlich aussichtslos erweist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