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1B_503/2017 vom 28. November 2017</w:t>
      </w:r>
    </w:p>
    <w:p>
      <w:r>
        <w:t>Bundesgericht, 2017-11-28, DE</w:t>
      </w:r>
    </w:p>
    <w:p>
      <w:r>
        <w:rPr>
          <w:b/>
        </w:rPr>
        <w:t xml:space="preserve">Quelle: </w:t>
      </w:r>
      <w:r>
        <w:t>https://mcp.opencaselaw.ch/entscheid/bger_1B_503_2017</w:t>
      </w:r>
    </w:p>
    <w:p>
      <w:r>
        <w:t>FR: TF 1B_503/2017 du 28 novembre 2017</w:t>
      </w:r>
    </w:p>
    <w:p>
      <w:r>
        <w:t>IT: TF 1B_503/2017 del 28 novembre 2017</w:t>
      </w:r>
    </w:p>
    <w:p>
      <w:pPr>
        <w:pStyle w:val="Heading2"/>
      </w:pPr>
      <w:r>
        <w:t>Erwägungen</w:t>
      </w:r>
    </w:p>
    <w:p>
      <w:r>
        <w:rPr>
          <w:b/>
        </w:rPr>
        <w:t>E. 1</w:t>
      </w:r>
    </w:p>
    <w:p>
      <w:r>
        <w:t>In einem Strafverfahren gegen A.________ wegen Drohung etc. verfügte die Oberstaatsanwaltschaft des Kantons Zürich am 12. September 2017 einen Verteidigerwechsel. Sie entliess Rechtsanwalt B.________ als amtlichen Verteidiger von A.________ und stellte ihm neu Rechtsanwalt C.________ als amtlichen Verteidiger zur Seite. A.________ erhob dagegen am 21. September 2017 Beschwerde und ersuchte gleichzeitig um unentgeltliche Prozessführung. Die III. Strafkammer des Obergerichts des Kantons Zürich trat mit Beschluss vom 10. Oktober 2017 auf die Beschwerde nicht ein, wies das Gesuch um Gewährung der unentgeltlichen Rechtspflege ab und auferlegte A.________ die Gerichtsgebühr von Fr. 300.--. Zur Begründung führte die Strafkammer zusammenfassend aus, dass der Beschwerdeführer die Abänderung der Begründung, nicht jedoch die Aufhebung bzw. Änderung der im Dispositiv der Verfügung der Oberstaatsanwaltschaft vom 12. September 2017 aufgeführten Verfahrenshandlung verlange. Erwägungen eines Entscheides seien für sich alleine nicht anfechtbar, weshalb auf die Beschwerde nicht einzutreten sei. Die Beschwerde erweise sich als von vornherein aussichtslos, weshalb die unentgeltliche Rechtspflege nicht zu gewähren sei.</w:t>
      </w:r>
    </w:p>
    <w:p>
      <w:r>
        <w:rPr>
          <w:b/>
        </w:rPr>
        <w:t>E. 2</w:t>
      </w:r>
    </w:p>
    <w:p>
      <w:r>
        <w:t>A.________ führt mit Eingabe vom 22. November 2017 Beschwerde in Strafsachen gegen den Beschluss der III. Strafkammer des Obergerichts des Kantons Zürich. Das Bundesgericht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die gerügten Grundrechte verstossen soll.</w:t>
      </w:r>
    </w:p>
    <w:p>
      <w:r>
        <w:t>Der Beschwerdeführer setzt sich mit den Ausführungen der III. Strafkammer, die zum Nichteintreten auf die Beschwerde führten, nicht auseinander und vermag mit seinen nicht sachbezogenen Ausführungen nicht aufzuzeigen, inwiefern die Begründung der III. Strafkammer bzw. deren Beschluss selbst rechts- bzw. verfassungswidrig sein soll. Die Beschwerde genügt den gesetzlichen Formerfordernissen offensichtlich nicht, weshalb auf sie im vereinfachten Verfahren nach Art. 108 Abs. 1 BGG nicht einzutreten ist.</w:t>
      </w:r>
    </w:p>
    <w:p>
      <w:r>
        <w:rPr>
          <w:b/>
        </w:rPr>
        <w:t>E. 4</w:t>
      </w:r>
    </w:p>
    <w:p>
      <w:r>
        <w:t>Angesichts der Aussichtslosigkeit des Verfahrens ist dem Gesuch um unentgeltliche Rechtspflege nicht zu entsprechen ( Art. 64 BGG ). Indessen ist davon abzusehen, für das bundesgerichtliche Verfahren Kosten zu erheben ( Art. 66 Abs. 1 BGG ).</w:t>
      </w:r>
    </w:p>
    <w:p>
      <w:r>
        <w:t>Mit dem vorliegenden Entscheid ist das Gesuch um Anordnung einer vorsorglichen Massnahme gegenstandslos geworden.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