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1B_502/2012 vom 12. Dezember 2012</w:t>
      </w:r>
    </w:p>
    <w:p>
      <w:r>
        <w:t>Bundesgericht, 2012-12-12, FR</w:t>
      </w:r>
    </w:p>
    <w:p>
      <w:r>
        <w:rPr>
          <w:b/>
        </w:rPr>
        <w:t xml:space="preserve">Quelle: </w:t>
      </w:r>
      <w:r>
        <w:t>https://mcp.opencaselaw.ch/entscheid/bger_1B_502_2012</w:t>
      </w:r>
    </w:p>
    <w:p>
      <w:r>
        <w:t>FR: TF 1B_502/2012 du 12 décembre 2012</w:t>
      </w:r>
    </w:p>
    <w:p>
      <w:r>
        <w:t>IT: TF 1B_502/2012 del 12 dicembre 2012</w:t>
      </w:r>
    </w:p>
    <w:p>
      <w:pPr>
        <w:pStyle w:val="Heading2"/>
      </w:pPr>
      <w:r>
        <w:t>Erwägungen</w:t>
      </w:r>
    </w:p>
    <w:p>
      <w:r>
        <w:rPr>
          <w:b/>
        </w:rPr>
        <w:t>E. 1</w:t>
      </w:r>
    </w:p>
    <w:p>
      <w:r>
        <w:t>Conformément à l' art. 78 LTF , une décision relative à la défense d'office dans une cause pénale peut faire l'objet d'un recours en matière pénale. La recourante, prévenue et auteur de la demande de désignation d'un défenseur d'office, a qualité pour agir ( art. 81 al. 1 LTF ). Le refus de désigner un avocat d'office au prévenu est susceptible de lui causer un préjudice irréparable au sens de l' art. 93 al. 1 let. a LTF ( ATF 133 IV 335 consid. 4 p. 338 et les références). Pour le surplus, le recours est formé en temps utile ( art. 100 al. 1 LTF ) contre une décision rendue en dernière instance cantonale ( art. 80 LTF ) et les conclusions présentées sont recevables au regard de l' art. 107 al. 2 LTF .</w:t>
      </w:r>
    </w:p>
    <w:p>
      <w:r>
        <w:rPr>
          <w:b/>
        </w:rPr>
        <w:t>E. 2</w:t>
      </w:r>
    </w:p>
    <w:p>
      <w:r>
        <w:t>La défense d'office aux fins de protéger les intérêts du prévenu se justifie notamment lorsque l'affaire n'est pas de peu de gravité et qu'elle présente, sur le plan des faits ou du droit, des difficultés que le prévenu seul ne pourrait pas surmonter.</w:t>
      </w:r>
    </w:p>
    <w:p>
      <w:r>
        <w:rPr>
          <w:b/>
        </w:rPr>
        <w:t>E. 2.1</w:t>
      </w:r>
    </w:p>
    <w:p>
      <w:r>
        <w:t>L' art. 132 CPP , qui traite de la défense d'office, a la teneur suivante:</w:t>
      </w:r>
    </w:p>
    <w:p>
      <w:r>
        <w:t>1 La direction de la procédure ordonne une défense d'office:</w:t>
      </w:r>
    </w:p>
    <w:p>
      <w:r>
        <w:t>a. en cas de défense obligatoire:</w:t>
      </w:r>
    </w:p>
    <w:p>
      <w:r>
        <w:t>1. si le prévenu, malgré l'invitation de la direction de la procédure, ne désigne pas de défenseur privé,</w:t>
      </w:r>
    </w:p>
    <w:p>
      <w:r>
        <w:rPr>
          <w:b/>
        </w:rPr>
        <w:t>E. 2.2</w:t>
      </w:r>
    </w:p>
    <w:p>
      <w:r>
        <w:t>Selon la systématique de l' art. 132 CPP , la défense d'office doit être ordonnée non seulement en cas de défense obligatoire au sens de l' art. 130 CPP si les conditions de l' art. 132 al. 1 let. a CPP sont réalisées, mais aussi hors des cas de défense obligatoire, aux conditions de l' art. 132 al. 1 let. b CPP . En d'autres termes, un défenseur d'office peut être désigné également dans les cas de défense facultative (cf. arrêt 1B_195/2011 du 28 juin 2011, consid. 3.1 non publié aux ATF 137 IV 215 ). Pour qu'une défense d'office soit ordonnée dans un cas de défense facultative, il faut que les conditions posées par l' art. 132 al. 1 let. b CPP - et précisées par l' art. 132 al. 2 et 3 CPP - soient réunies. Ces conditions reprennent largement la jurisprudence du Tribunal fédéral en matière d'assistance judiciaire. Selon cette jurisprudence, rendue sur la base des art. 29 al. 3 Cst. et 6 par. 3 let. c CEDH,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128 I 225 consid. 2.5.2 p. 232 s.; 120 Ia 43 consid. 2a p. 44 et les références citées).</w:t>
      </w:r>
    </w:p>
    <w:p>
      <w:r>
        <w:t>Si les deux conditions mentionnées à l' art. 132 al. 2 CPP doivent être réunies cumulativement, il n'est pas exclu que l'intervention d'un défenseur soit justifiée par d'autres motifs, comme l'indique l'adverbe "notamment". La doctrine mentionne en particulier les cas où la désignation d'un défenseur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(cf. MAURICE HARARI/TATIANA ALIBERTI, in Commentaire romand CPP, 2011, n. 64 ad art. 132; VIKTOR LIEBER, in Donatsch/Hansjakob/Lieber (éd.), Kommentar zur Schweizerischen Strafprozessordnung, 2010, n. 16 ad art. 132; NIKLAUS RUCKSTUHL, in Basler Kommentar StPO, 2011, n. 36 ad art. 132).</w:t>
      </w:r>
    </w:p>
    <w:p>
      <w:r>
        <w:rPr>
          <w:b/>
        </w:rPr>
        <w:t>E. 2.3</w:t>
      </w:r>
    </w:p>
    <w:p>
      <w:r>
        <w:t>En l'occurrence, l'indigence de la recourante n'est pas remise en cause dans l'arrêt attaqué. Le Tribunal cantonal a en revanche considéré que l'affaire était un "cas bagatelle", la peine encourue étant un travail d'intérêt général de 200 heures assorti du sursis. De plus, comme l'ordonnance pénale était couplée avec une décision de non-entrée en matière concernant le trafic de stupéfiants, la recourante n'avait pas à craindre une reformatio in pejus à cet égard. Si les conditions permettant d'ouvrir une nouvelle procédure pour ce volet de l'enquête devaient être réalisées, la recourante pourrait le cas échéant bénéficier de l'assistance judiciaire dans ce cadre. Pour le surplus, la cause ne présentait pas de difficultés particulières, la recourante ayant démontré avoir compris le sens de l'ordonnance litigieuse. Enfin, le seul fait que le Ministère public intervienne dans la procédure ne violait pas l'égalité des armes.</w:t>
      </w:r>
    </w:p>
    <w:p>
      <w:r>
        <w:t>La recourante ne remet pas en cause cette appréciation de façon convaincante. Elle dit redouter que le Ministère public ouvre une instruction complémentaire portant non seulement sur les infractions de blanchiment d'argent et de facilitation de séjour illégal, mais aussi sur la prévention de complicité de trafic de stupéfiants. Elle fonde cette inquiétude sur les faits que pourraient révéler les procédures en cours contre les tiers auxquels elle avait loué son appartement et sur une mise en garde figurant dans l'ordonnance querellée quant à une "éventuelle récidive [qui] pourrait amener les autorités judiciaires à ouvrir contre elle une instruction pour trafic de stupéfiants". Ces deux éléments ont toutefois trait à d'hypothétiques faits nouveaux susceptibles de remettre en cause l'ordonnance de non-entrée en matière pour l'infraction de trafic de stupéfiants. Or, cette question est étrangère à l'opposition formée par la recourante, qui n'a aucune incidence sur une éventuelle réouverture de l'instruction précitée en cas de découverte de nouveaux éléments. En l'état, seules les infractions de blanchiment d'argent et de facilitation de séjour illégal font l'objet de la procédure ouverte suite à l'opposition de la recourante. L'intéressée reconnaît elle-même que ces deux infractions relèvent du "cas bagatelle", de sorte qu'elles ne justifient pas l'instauration d'une défense d'office en application de l' art. 132 CPP . Il va de soi que si la procédure devait porter sur la prévention de complicité de trafic de stupéfiants, une défense d'office devrait être envisagée, ce que le Tribunal cantonal a d'ailleurs expressément relevé. Cette simple éventualité, dont la réalisation prochaine n'apparaît guère vraisemblable, ne suffit pas pour justifier la mise en oeuvre d'une défense d'office.</w:t>
      </w:r>
    </w:p>
    <w:p>
      <w:r>
        <w:rPr>
          <w:b/>
        </w:rPr>
        <w:t>E. 3</w:t>
      </w:r>
    </w:p>
    <w:p>
      <w:r>
        <w:t>Il s'ensuit que le recours doit être rejeté. Il n'y a pas lieu d'accorder l'assistance judiciaire, dès lors que les conclusions du recours apparaissaient d'emblée vouées à l'échec ( art. 64 al. 1 LTF ). La recourante étant dans le besoin, il se justifie néanmoins de statuer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