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1B_501/2017 vom 29. November 2017</w:t>
      </w:r>
    </w:p>
    <w:p>
      <w:r>
        <w:t>Bundesgericht, 2017-11-29, DE</w:t>
      </w:r>
    </w:p>
    <w:p>
      <w:r>
        <w:rPr>
          <w:b/>
        </w:rPr>
        <w:t xml:space="preserve">Quelle: </w:t>
      </w:r>
      <w:r>
        <w:t>https://mcp.opencaselaw.ch/entscheid/bger_1B_501_2017</w:t>
      </w:r>
    </w:p>
    <w:p>
      <w:r>
        <w:t>FR: TF 1B_501/2017 du 29 novembre 2017</w:t>
      </w:r>
    </w:p>
    <w:p>
      <w:r>
        <w:t>IT: TF 1B_501/2017 del 29 novembre 2017</w:t>
      </w:r>
    </w:p>
    <w:p>
      <w:pPr>
        <w:pStyle w:val="Heading2"/>
      </w:pPr>
      <w:r>
        <w:t>Erwägungen</w:t>
      </w:r>
    </w:p>
    <w:p>
      <w:r>
        <w:rPr>
          <w:b/>
        </w:rPr>
        <w:t>E. 1</w:t>
      </w:r>
    </w:p>
    <w:p>
      <w:r>
        <w:t>Die Regionale Staatsanwaltschaft Oberland führt gegen A.________ ein Strafverfahren wegen Widerhandlung gegen das Betäubungsmittelgesetz, Drohung, Beschimpfung etc. Am 11. August 2017 wandte sich A.________ an die Staatsanwaltschaft und berief sich auf sein Akteneinsichts- sowie sein Teilnahme- und Fragerecht. Er machte geltend, werde seinem Gesuch nicht entsprochen, habe die Staatsanwaltschaft eine beschwerdefähige Verfügung zu erlassen. Am 4. Oktober 2017 ersuchte A.________ die Staatsanwaltschaft unter Verweis auf sein erstes Schreiben erneut, seinem Gesuch um Geltendmachung von Prozessrechten zu entsprechen. Die Staatsanwaltschaft teilte ihm mit Schreiben vom 7. November 2017 u.a. mit, dass ihm Parteirechte automatisch von Gesetzes wegen zustünden. Die Durchführung eines Gesuchsverfahrens sei dazu nicht notwendig. Am 10. November 2017 erliess die Staatsanwaltschaft einen Strafbefehl gegen A.________ wegen Übertretung gegen das Betäubungsmittelgesetz, Drohung, Beschimpfung sowie geringfügiger Sachbeschädigung. Am 13. November 2017 erhob A.________ gegen das Schreiben der Staatsanwaltschaft vom 7. November 2017 Beschwerde. Am 14. November 2017 erhob er ausserdem Einsprache gegen den Strafbefehl vom 10. November 2017.</w:t>
      </w:r>
    </w:p>
    <w:p>
      <w:r>
        <w:t>Die Beschwerdekammer in Strafsachen des Obergerichts des Kantons Bern wies die Beschwerde mit Beschluss vom 21. November 2017 ab, soweit sie darauf eintrat. Zur Begründung führte sie zusammenfassend aus, dass mit dem Strafbefehl vom 10. November 2017 das staatsanwaltschaftliche Vorverfahren abgeschlossen worden sei. Wenn der Beschwerdeführer mit dem Strafbefehl nicht einverstanden sei, könne er Einsprache erheben, was er denn auch gemacht habe. Es sei fraglich, ob der Beschwerdeführer noch ein aktuelles Rechtsschutzinteresse an der Beurteilung der Beschwerde habe. Dies könne indessen offenbleiben, da die Beschwerde ohnehin als unbegründet abzuweisen sei. Sowohl das Akteneinsichtsrecht als auch das Teilnahmerecht stünden dem Beschwerdeführer von Gesetzes wegen zu. Eine anfechtbare Verfügung hierfür bedürfe es nicht. Eine Rechtsverweigerung der Staatsanwaltschaft liege somit nicht vor.</w:t>
      </w:r>
    </w:p>
    <w:p>
      <w:r>
        <w:rPr>
          <w:b/>
        </w:rPr>
        <w:t>E. 2</w:t>
      </w:r>
    </w:p>
    <w:p>
      <w:r>
        <w:t>A.________ führt mit Eingabe vom 21. November 2017 (Postaufgabe 23. November 2017)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legt nicht nachvollziehbar dar, dass die Beschwerdekammer in Strafsachen bei der Behandlung seiner Beschwerde Recht im Sinne von Art. 42 Abs. 2 BGG verletzt hätte. So behauptet er, ohne dies indessen zu belegen, der Strafbefehl betreffe ein separates weiteres Verfahren wegen Beschimpfung. Weshalb er jedoch, in Widerspruch zu dieser Behauptung, in seiner Einsprache gegen den Strafbefehl u.a. auch Ausführungen betreffend Widerhandlung gegen das Betäubungsmittelgesetz und Sachbeschädigung macht, ergibt sich aus seiner Beschwerde nicht. Mit seinen Ausführungen vermag er nicht aufzuzeigen, inwiefern der angefochtene Beschluss der Beschwerdekammer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