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1B_501/2012 vom 10. Oktober 2012</w:t>
      </w:r>
    </w:p>
    <w:p>
      <w:r>
        <w:t>Bundesgericht, 2012-10-10, FR</w:t>
      </w:r>
    </w:p>
    <w:p>
      <w:r>
        <w:rPr>
          <w:b/>
        </w:rPr>
        <w:t xml:space="preserve">Quelle: </w:t>
      </w:r>
      <w:r>
        <w:t>https://mcp.opencaselaw.ch/entscheid/bger_1B_501_2012</w:t>
      </w:r>
    </w:p>
    <w:p>
      <w:r>
        <w:t>FR: TF 1B_501/2012 du 10 octobre 2012</w:t>
      </w:r>
    </w:p>
    <w:p>
      <w:r>
        <w:t>IT: TF 1B_501/2012 del 10 ottobre 2012</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Dans un grief qu'il convient d'examiner en premier lieu, le recourant se plaint d'une violation de son droit d'être entendu garanti par l' art. 29 al. 2 Cst. , plus précisément de son droit d'obtenir une décision motivée. Il fait grief aux autorités précédentes, en particulier au Ministère public et au Tmc, de ne pas avoir suffisamment motivé leur décision concernant son maintien en détention provisoire. Il reproche en outre au Tribunal cantonal de ne pas avoir examiné si la demande de prolongation de la détention du Ministère public et la décision du Tmc étaient suffisamment motivées.</w:t>
      </w:r>
    </w:p>
    <w:p>
      <w:r>
        <w:rPr>
          <w:b/>
        </w:rPr>
        <w:t>E. 3.1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2C_23/2009 du 25 mai 2009 consid. 3.1 publié in RDAF 2009 II p. 434 et les réf.).</w:t>
      </w:r>
    </w:p>
    <w:p>
      <w:r>
        <w:rPr>
          <w:b/>
        </w:rPr>
        <w:t>E. 3.2</w:t>
      </w:r>
    </w:p>
    <w:p>
      <w:r>
        <w:t>En l'espèce, le Tribunal cantonal a expressément indiqué quels étaient les indices concrets qui permettaient de soupçonner le recourant d'avoir participé à la commission d'une infraction grave à la LStup (cf. consid. 5.3 infra). La motivation de la décision attaquée permet donc de comprendre sur la base de quels éléments le Tribunal cantonal a conclu à l'existence de charges suffisantes à l'encontre du recourant. Celui-ci connaissait donc les motifs pour lesquels il pouvait contester la décision de maintien en détention provisoire. L'instance précédente n'a donc pas méconnu son obligation de motiver, autre étant la question de savoir si la motivation présentée est erronée, comme le soutient également le recourant.</w:t>
      </w:r>
    </w:p>
    <w:p>
      <w:r>
        <w:t>S'agissant de sa critique concernant le fait que la cour cantonale n'aurait pas examiné son grief lié au défaut de motivation de la requête de prolongation de la détention du Ministère public et de la décision de prolongation de celle-ci par le Tmc, elle doit être écartée. En effet, le Tribunal cantonal a implicitement considéré que cette requête et cette décision étaient suffisamment motivées dès lors qu'il a repris en substance les mêmes motifs pour sa décision de maintien en détention. En particulier, en se référant expressément à sa précédente ordonnance du 29 avril 2012 s'agissant des indices de culpabilité existant à l'encontre du recourant et en indiquant que sur ce point sa motivation conservait toute sa pertinence, le Tmc n'a pas contrevenu à son obligation de motiver, contrairement à ce que soutient le recourant.</w:t>
      </w:r>
    </w:p>
    <w:p>
      <w:r>
        <w:t>Pour le surplus, lorsqu'il affirme que le Tmc et le Ministère public se sont limités à proférer des reproches peu concrets, très généraux et infondés, il se plaint non pas d'un défaut de motivation mais conteste en réalité le bien-fondé de ces décisions. En tant que les critiques du recourant sont dirigées directement contre les décisions du Ministère public et du Tmc, elles sont irrecevables devant le Tribunal de céans.</w:t>
      </w:r>
    </w:p>
    <w:p>
      <w:r>
        <w:rPr>
          <w:b/>
        </w:rPr>
        <w:t>E. 4</w:t>
      </w:r>
    </w:p>
    <w:p>
      <w:r>
        <w:t>Dans un moyen suivant, le recourant fait grief au procureur d'avoir violé son obligation de mener lui-même les premières auditions importantes, invoquant les art. 307 al. 2, 311 et 312 CPP . Le procureur aurait violé ces dispositions en déléguant toute l'enquête à la police; une telle délégation générale serait en effet interdite pas la loi. Le recourant soutient en outre que les conditions de forme de la délégation ne seraient pas respectées puisque le dossier ne contiendrait aucune trace d'une quelconque délégation. Enfin, il allègue que son extradition serait fondée sur la base de preuves inexistantes ou imaginaires, de sorte que toutes les preuves consécutives ne pourraient être utilisées. Le recourant conclut à l'élimination des moyens de preuve obtenus en violation des art. 307 al. 2, 311 et 312 CPP et de ceux qui reposent sur une tromperie.</w:t>
      </w:r>
    </w:p>
    <w:p>
      <w:r>
        <w:rPr>
          <w:b/>
        </w:rPr>
        <w:t>E. 4.1</w:t>
      </w:r>
    </w:p>
    <w:p>
      <w:r>
        <w:t>Selon l' art. 311 al. 1 CPP , les procureurs recueillent eux-mêmes les preuves; la Confédération et les cantons déterminent dans quelle mesure ils peuvent confier des actes d'instruction particuliers à leurs collaborateurs. Enfin, l' art. 312 al. 1 CPP indique que même après l'ouverture de l'instruction, le Ministère public peut charger la police d'investigations complémentaires; il lui donne à cet effet des directives écrites, verbales en cas d'urgence, qui sont limitées à des actes d'enquête précisément définis. L' art. 307 al. 2 CPP prévoit que, en cas d'infractions graves et de tout autre événement sérieux, le Ministère public conduit lui-même, dans la mesure du possible, les premières auditions importantes.</w:t>
      </w:r>
    </w:p>
    <w:p>
      <w:r>
        <w:rPr>
          <w:b/>
        </w:rPr>
        <w:t>E. 4.2</w:t>
      </w:r>
    </w:p>
    <w:p>
      <w:r>
        <w:t>La décision d'exclure un moyen de preuve litigieux du dossier est du ressort de la direction de la procédure, respectivement du juge du fond. Il n'appartient en principe pas au juge de la détention de se prononcer sur ce point. Celui-ci vérifie l'existence de soupçons suffisants de culpabilité sur la base des résultats provisoires de l'instruction. Il peut ainsi tenir compte de moyens de preuve figurant au dossier, à moins toutefois que ceux-ci n'apparaissent d'emblée inexploitables (cf. arrêts 1B_179/2012 du 13 avril 2012 consid. 2.4 et 1B_182/2007 du 20 septembre 2007 consid. 4.4 et les références).</w:t>
      </w:r>
    </w:p>
    <w:p>
      <w:r>
        <w:t>En l'espèce, l'admissibilité des moyens de preuve critiqués par le recourant n'apparaît pas d'emblée exclue. En effet, le Ministère public a personnellement entendu le recourant le 27 avril 2012, soit le lendemain de son extradition en Suisse. Les auditions suivantes (soit celles des 8, 10 et 22 mai et 13 juin 2012) ont été réalisées par la police en présence du mandataire du recourant. Le dossier en possession du Tribunal de céans ne contient certes aucun mandat écrit du Ministère public déléguant à la police le soin de procéder à ces auditions. Quoi qu'il en soit, cette éventuelle informalité ne paraît pas a priori avoir pour conséquence l'impossibilité absolue d'exploiter les procès-verbaux d'audition du recourant, ce d'autant moins que le prévenu a pu disposer, conformément à l' art. 312 al. 2 CPP , des mêmes droits devant la police que devant le procureur (cf. ESTHER OMLIN, in Basler Kommentar, Schweizerische Strafprozessordnung, 2011, ad art. 312 CPP n. 14 et 15).</w:t>
      </w:r>
    </w:p>
    <w:p>
      <w:r>
        <w:t>Enfin, l'invocation par le recourant, pour la première fois à ce stade de la procédure, du vice affectant soi-disant la demande d'extradition contrevient manifestement aux règles de la bonne foi, de sorte que la cour de céans n'entrera pas en matière sur ce point (cf. ATF 135 I 91 consid. 2.1 p. 93). Au demeurant, d'éventuelles inexactitudes dans l'exposé des motifs de la demande d'extradition adressée par les autorités suisses, ne sauraient être assimilées à une tromperie de la part des autorités suisses et se trouvent sans rapport avec la question de la recevabilité des preuves administrées ultérieurement.</w:t>
      </w:r>
    </w:p>
    <w:p>
      <w:r>
        <w:t>Pour le surplus, la conclusion du recourant tendant à ce que les moyens de preuve litigieux soient éliminés du dossier est irrecevable dès lors qu'il n'appartient pas au juge de la détention de se prononcer définitivement sur cette question. L'arrêt attaqué qui s'en tient à ce principe n'est dès lors pas critiquable.</w:t>
      </w:r>
    </w:p>
    <w:p>
      <w:r>
        <w:rPr>
          <w:b/>
        </w:rPr>
        <w:t>E. 5</w:t>
      </w:r>
    </w:p>
    <w:p>
      <w:r>
        <w:t>Invoquant l' art. 221 al. 1 CPP , le recourant conteste le caractère suffisant des charges pesant sur lui. Il qualifie d'arbitraire l'appréciation de l'instance précédente. Les faits qui lui sont imputés ne seraient de plus pas "typiques au sens de la loi". Il reproche en outre au Ministère public d'avoir retenu dans sa demande de prolongation de la détention provisoire du 11 juillet 2012 que le recourant appartenait manifestement à une organisation criminelle au sens de l' art. 260ter CP , se plaignant à cet égard d'une violation des art. 31 Cst. et 5 CEDH ainsi que des art. 308, 309 al. 3 et 311 al. 2 CPP. Le Procureur aurait dû, selon lui, rendre une ordonnance d'extension de l'instruction ou une ordonnance d'ouverture de l'instruction conformément aux art. 309 al. 3 et 311 al. 2 CPP.</w:t>
      </w:r>
    </w:p>
    <w:p>
      <w:r>
        <w:rPr>
          <w:b/>
        </w:rPr>
        <w:t>E. 5.1</w:t>
      </w:r>
    </w:p>
    <w:p>
      <w:r>
        <w:t>Aux termes de l' art. 309 al. 3 CPP , le Ministère public ouvre l'instruction par une ordonnance dans laquelle il désigne le prévenu et l'infraction qui lui est imputée; l'ordonnance n'a pas à être motivée ni notifiée. Il peut, selon l' art. 311 al. 2 CPP , étendre l'instruction à d'autres prévenus et à d'autres infractions; l' art. 309 al. 3 CPP est applicable. Enfin, le Ministère public établit durant l'instruction l'état de fait et l'appréciation juridique du cas de telle sorte qu'il puisse mettre un terme à la procédure préliminaire ( art. 308 al. 1 CPP ).</w:t>
      </w:r>
    </w:p>
    <w:p>
      <w:r>
        <w:rPr>
          <w:b/>
        </w:rPr>
        <w:t>E. 5.2</w:t>
      </w:r>
    </w:p>
    <w:p>
      <w:r>
        <w:t>Pour qu'une personne soit placée et maintenue en détention provisoire, il doit exister à l'égard de l'intéressé des charges suffisantes, soit de sérieux soupçons de culpabilité, c'est-à-dire des raisons plausibles de la soupçonner d'avoir commis une infraction ( art. 221 al. 1 CPP ; art. 5 par. 1 let . c CEDH; arrêt 1B_63/2007 du 11 mai 2007 consid. 3 non publié in ATF 133 I 168 ).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5.3</w:t>
      </w:r>
    </w:p>
    <w:p>
      <w:r>
        <w:t>Le Tribunal cantonal a constaté l'existence de soupçons de culpabilité à l'égard du recourant. Il a notamment retenu, sur la base d'écoutes téléphoniques, que B.________, domicilié en Suisse, avait passé commande d'une quantité indéterminée d'héroïne en octobre 2011. L'organisateur de cette livraison de drogue en Suisse, C.________, se rendait à Lausanne pour rencontrer B.________. D'autres personnes - dont le recourant - devaient les rejoindre en voiture depuis l'Italie. Ce véhicule avait été arrêté le 15 octobre 2011 par la police avec cinq personnes à son bord (le recourant, C.________, B.________, D.________ et E.________). Entendus par la police, les prévenus avaient nié toute implication dans un quelconque trafic de stupéfiant. Comme la police n'avait pas découvert de drogue, ils avaient été relaxés. Le recourant avait alors immédiatement quitté le territoire suisse pour se rendre en Albanie via Milan. Par ailleurs, la police avait intercepté le 16 octobre 2011 à Ziegelbrücke, dans le canton de Glaris, une voiture portant des plaques grecques et contenant 5 kg d'héroïne avec à son bord F.________ et G.________. Les analyses téléphoniques avaient révélé que C.________ avait reçu le 13 octobre 2011 un sms de F.________ lui indiquant le lieu où se trouvait le véhicule contenant les 5 kg d'héroïne ("Ziegelbrucke [...]"). Par ailleurs, les trois numéros de téléphone du recourant étaient enregistrés dans le répertoire du téléphone portable de F.________. L'enquête avait démontré que F.________ et G.________ avaient été en contact téléphonique avec H.________ - lequel avait été impliqué en 2009 dans un trafic de produit stupéfiant entre la Suisse et la Turquie - pour organiser la réception de la drogue.</w:t>
      </w:r>
    </w:p>
    <w:p>
      <w:r>
        <w:rPr>
          <w:b/>
        </w:rPr>
        <w:t>E. 5.4</w:t>
      </w:r>
    </w:p>
    <w:p>
      <w:r>
        <w:t>Dans son grief, le recourant soutient que la constatation du Tribunal cantonal selon laquelle F.________ avait enregistré ses trois numéros de téléphone dans son répertoire ne serait corroborée par aucun élément objectif. L'intéressé semble se plaindre implicitement d'une constatation arbitraire des faits. Cette simple critique ne satisfait manifestement pas aux exigences de motivation accrue requises pour remettre en cause l'état de fait retenu par l'instance précédente (cf. consid. 5.2). Il n'y a donc pas lieu de s'écarter des faits constatés dans la décision entreprise.</w:t>
      </w:r>
    </w:p>
    <w:p>
      <w:r>
        <w:t>Contestant l'existence de sérieux soupçons de culpabilité à son endroit, le recourant expose que le fait d'avoir eu son numéro de téléphone enregistré dans la mémoire du téléphone portable d'un tiers ne constitue pas une preuve suffisante de sa culpabilité. Il a été établi que plusieurs numéros de téléphone du recourant étaient enregistrés dans le téléphone portable de F.________; celui-ci a en outre envoyé un sms au recourant le jour même de son arrestation le 16 octobre 2012 (cf. procès-verbal d'audition du 22 mai 2012 p. 18-19 &amp; rapport de la police de sûreté du 28 mars 2012 p. 42 s.). A cet égard, dans un premier temps, le recourant a nié connaître F.________ avant de le reconnaître sur planche photographique et de préciser l'avoir rencontré en Albanie; en revanche, F.________ a contesté connaître le recourant. Ces éléments, associés à sa présence en Suisse en compagnie de C.________ et B.________ (interpellés ensemble le 15 octobre 2011) au moment de la transaction litigieuse constituent un faisceau d'indices suffisant de la culpabilité du recourant à ce stade de la procédure. Quant aux arguments développés par recourant sur la forme ou la nature de sa participation à l'infraction (complicité, coactivité), ils ne sont pas pertinents dès lors qu'il appartient au juge du fond et non pas au juge de la détention de se déterminer sur ce point.</w:t>
      </w:r>
    </w:p>
    <w:p>
      <w:r>
        <w:t>Enfin, contrairement à ce que semble soutenir le recourant, il n'a pas fait l'objet d'une mise en prévention pour d'autres charges que celles liées à son implication, avec d'autres protagonistes, dans l'organisation d'un transport d'héroïne vers la Suisse (5 kilos). Les autorités précédentes n'ont pas modifié la prévention à la base de sa détention, à savoir celle d'infraction grave à la LStup. Dans la décision entreprise, le Tribunal cantonal fait expressément référence à l' art. 19 ch. 2 LStup , disposition qui était déjà à la base du mandat d'arrêt international délivré par les autorités suisses. Le Ministère public n'a, à cet égard, pas mentionné l' art. 260ter CP dans sa demande de prolongation de la détention, comme l'affirme pourtant le recourant. Cela étant, à ce stade de la procédure, l'autorité n'a pas à résoudre définitivement les questions de la qualification juridique des faits poursuivis. Il suffit en l'état que les faits reprochés se prêtent, avec une vraisemblance suffisante, à la qualification d'infraction grave à la LStup, comme c'est manifestement le cas en l'espèce eu égard notamment à la quantité d'héroïne saisie. Enfin, on relèvera néanmoins qu'une éventuelle décision d'extension de l'instruction au sens de l' art. 312 al. 2 CPP n'est pas nécessaire s'il s'agit simplement de modifier la qualification juridique des faits pour lesquels l'instruction a été ouverte, le prévenu devant toutefois en avoir connaissance au plus tard lors de l'audition finale, quand elle a lieu, ou par l'avis de prochaine clôture (cf. PIERRE CORNU, Commentaire romand CPP, n. 18 ad art. 311 CPP ).</w:t>
      </w:r>
    </w:p>
    <w:p>
      <w:r>
        <w:t>Mal fondés, les griefs du recourant doivent donc être rejetés.</w:t>
      </w:r>
    </w:p>
    <w:p>
      <w:r>
        <w:rPr>
          <w:b/>
        </w:rPr>
        <w:t>E. 6</w:t>
      </w:r>
    </w:p>
    <w:p>
      <w:r>
        <w:t>Le recourant conteste l'existence des risques de fuite et de collusion.</w:t>
      </w:r>
    </w:p>
    <w:p>
      <w:r>
        <w:rPr>
          <w:b/>
        </w:rPr>
        <w:t>E. 6.1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6.2</w:t>
      </w:r>
    </w:p>
    <w:p>
      <w:r>
        <w:t>Le recourant conteste en vain l'existence d'un risque de fuite. En effet, comme relevé par l'instance précédente, il est de nationalité étrangère et n'a aucune attache avec la Suisse dont il foulait le territoire pour la première fois le 15 octobre 2011. En outre, la gravité des charges pesant contre lui fait clairement redouter qu'il ne quitte la Suisse pour se soustraire à la poursuite pénale engagée contre lui. D'ailleurs, lors de sa précédente libération par le Ministère public après son interpellation du 15 octobre 2011, il avait alors immédiatement quitté le territoire helvétique. Les éléments qu'il invoque (sa situation de père de famille en Albanie; la présence d'un cousin en Italie) sont manifestement insuffisants à faire admettre l'invraisemblance du risque de fuite.</w:t>
      </w:r>
    </w:p>
    <w:p>
      <w:r>
        <w:rPr>
          <w:b/>
        </w:rPr>
        <w:t>E. 6.3</w:t>
      </w:r>
    </w:p>
    <w:p>
      <w:r>
        <w:t>Enfin, les mesures de substitution susceptibles de pallier le risque de fuite proposées par le recourant apparaissent clairement insuffisantes au regard de l'intensité dudit risque. En effet, l'assignation à résidence, le dépôt des papiers d'identité, l'interdiction de quitter la Suisse, l'obligation de se présenter périodiquement aux autorités suisses, la fourniture de sûretés ou le port du bracelet électronique ne sont pas de nature à empêcher une personne dans la situation du recourant de s'enfuir à l'étranger.</w:t>
      </w:r>
    </w:p>
    <w:p>
      <w:r>
        <w:t>L'affirmation d'un risque de fuite dispense d'examiner s'il existe aussi un danger de collusion au sens de l' art. 221 al. 1 let. b CPP .</w:t>
      </w:r>
    </w:p>
    <w:p>
      <w:r>
        <w:rPr>
          <w:b/>
        </w:rPr>
        <w:t>E. 7</w:t>
      </w:r>
    </w:p>
    <w:p>
      <w:r>
        <w:t>Invoquant enfin le principe de célérité, le recourant estime que l'instruction devrait déjà être clôturée. Il fait en particulier grief au Ministère public de ne plus avoir mené aucun acte d'instruction depuis qu'il a procédé à son audition personnelle le 27 avril 2012, à l'exception de la requête de prolongation de la détention provisoire du 11 juillet 2012.</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t>Eu égard à la complexité du dossier ayant pour objet un trafic international de stupéfiant impliquant plusieurs protagonistes, il n'apparaît pas que les autorités de poursuites pénales suisses aient contrevenu à leur obligation de diligence dans la conduite de l'enquête. En effet, celle-ci nécessite de nombreuses mesures d'investigation en Suisse et à l'étranger (auditions des divers prévenus; analyse des contrôles téléphoniques; commissions rogatoires adressées à l'Albanie). La critique du recourant quant au fait que le Ministère public n'aurait procédé à aucune mesure d'instruction depuis avril 2012 tombe à faux, puisque le prévenu a été entendu par la police à plusieurs reprises durant les mois de mai et juin 2012. De plus, le Ministère public a indiqué que les résultats de l'entraide internationale adressée en juin 2012 aux autorités albanaises étaient encore attendus et que les analyses des contrôles téléphoniques et des données de la vingtaine de téléphones portables et de cartes SIM incriminés étaient encore en cours; certains détenteurs de raccordement n'avaient pas encore pu être identifiés. Les autorités judiciaires apparaissent dès lors poursuivre l'enquête sans désemparer. Il y a donc lieu de constater que le principe de célérité est en l'état respecté, de sorte que ce dernier grief doit lui aussi être rejeté.</w:t>
      </w:r>
    </w:p>
    <w:p>
      <w:r>
        <w:rPr>
          <w:b/>
        </w:rPr>
        <w:t>E. 8</w:t>
      </w:r>
    </w:p>
    <w:p>
      <w:r>
        <w:t>Il s'ensuit que le recours doit être rejeté, dans la mesure de sa recevabilité. Compte tenu des circonstances, l'assistance judiciaire doit être accordée au recourant ( art. 64 al. 1 LTF ). Celui-ci requiert la désignation de Me Julian Burkhalter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