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1B_4/2020 vom 7. Januar 2020</w:t>
      </w:r>
    </w:p>
    <w:p>
      <w:r>
        <w:t>Bundesgericht, 2020-01-07, DE</w:t>
      </w:r>
    </w:p>
    <w:p>
      <w:r>
        <w:rPr>
          <w:b/>
        </w:rPr>
        <w:t xml:space="preserve">Quelle: </w:t>
      </w:r>
      <w:r>
        <w:t>https://mcp.opencaselaw.ch/entscheid/bger_1B_4_2020</w:t>
      </w:r>
    </w:p>
    <w:p>
      <w:r>
        <w:t>FR: TF 1B_4/2020 du 7 janvier 2020</w:t>
      </w:r>
    </w:p>
    <w:p>
      <w:r>
        <w:t>IT: TF 1B_4/2020 del 7 gennaio 2020</w:t>
      </w:r>
    </w:p>
    <w:p>
      <w:pPr>
        <w:pStyle w:val="Heading2"/>
      </w:pPr>
      <w:r>
        <w:t>Erwägungen</w:t>
      </w:r>
    </w:p>
    <w:p>
      <w:r>
        <w:rPr>
          <w:b/>
        </w:rPr>
        <w:t>E. 1</w:t>
      </w:r>
    </w:p>
    <w:p>
      <w:r>
        <w:t>A.________ erhob gegen die Nichtanhandnahmeverfügung der Staatsanwaltschaft See/Oberland vom 18. September 2019 Beschwerde. Die III. Strafkammer des Obergerichts des Kantons Zürich forderte A.________ mit Verfügung vom 27. November 2019 auf, innert 30 Tagen eine Prozesskaution im Sinne von Art. 383 StPO von Fr. 1'500.-- zu leisten, ansonsten auf die Beschwerde nicht eingetreten werde.</w:t>
      </w:r>
    </w:p>
    <w:p>
      <w:r>
        <w:rPr>
          <w:b/>
        </w:rPr>
        <w:t>E. 2</w:t>
      </w:r>
    </w:p>
    <w:p>
      <w:r>
        <w:t>Mit Eingabe vom 4. Januar 2020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rPr>
          <w:b/>
        </w:rPr>
        <w:t>E. 4</w:t>
      </w:r>
    </w:p>
    <w:p>
      <w:r>
        <w:t>Anfechtungsobjekt ist vorliegend einzig die Aufforderung zur Leistung einer Prozesskaution im Sinne Art. 383 Abs. 1 StPO . Die Beschwerdeführerin vermag vorliegend mit ihren nicht sachbezogenen Ausführungen nicht substanziiert aufzuzeigen, inwiefern die Auferlegung einer Sicherheit im Sinne von Art. 383 StPO rechtswidrig erfolgt sein sollte. Aus der Beschwerde ergibt sich nicht nachvollziehbar, inwiefern die Verfügung der III. Strafkammer rechts- bzw. verfassungswidrig sein sollte. Die Beschwerde genügt den gesetzlichen Formerfordernissen offensichtlich nicht, weshalb auf sie im vereinfachten Verfahren nach Art. 108 Abs. 1 BGG nicht einzutreten ist.</w:t>
      </w:r>
    </w:p>
    <w:p>
      <w:r>
        <w:rPr>
          <w:b/>
        </w:rPr>
        <w:t>E. 5</w:t>
      </w:r>
    </w:p>
    <w:p>
      <w:r>
        <w:t>Es kann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