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499/2019 vom 29. November 2019</w:t>
      </w:r>
    </w:p>
    <w:p>
      <w:r>
        <w:t>Bundesgericht, 2019-11-29, DE</w:t>
      </w:r>
    </w:p>
    <w:p>
      <w:r>
        <w:rPr>
          <w:b/>
        </w:rPr>
        <w:t xml:space="preserve">Quelle: </w:t>
      </w:r>
      <w:r>
        <w:t>https://mcp.opencaselaw.ch/entscheid/bger_1B_499_2019</w:t>
      </w:r>
    </w:p>
    <w:p>
      <w:r>
        <w:t>FR: TF 1B 499/2019 du 29 novembre 2019</w:t>
      </w:r>
    </w:p>
    <w:p>
      <w:r>
        <w:t>IT: TF 1B 499/2019 del 29 novembre 2019</w:t>
      </w:r>
    </w:p>
    <w:p>
      <w:pPr>
        <w:pStyle w:val="Heading2"/>
      </w:pPr>
      <w:r>
        <w:t>Regeste</w:t>
      </w:r>
    </w:p>
    <w:p>
      <w:r>
        <w:t>Strafverfahren; Entsiegelungsgesuch | Strafprozess</w:t>
      </w:r>
    </w:p>
    <w:p>
      <w:pPr>
        <w:pStyle w:val="Heading2"/>
      </w:pPr>
      <w:r>
        <w:t>Erwägungen</w:t>
      </w:r>
    </w:p>
    <w:p>
      <w:r>
        <w:rPr>
          <w:b/>
        </w:rPr>
        <w:t>E. 1</w:t>
      </w:r>
    </w:p>
    <w:p>
      <w:r>
        <w:t>Angefochten ist ein kantonal letztinstanzlicher Entscheid in einer strafrechtlichen Angelegenheit; dagegen steht die Beschwerde in Strafsachen offen ( Art. 78 Abs. 1, Art. 80 Abs. 1, Art. 90 BGG ). Zur Beschwerdeführung befugt ist, wer am vorinstanzlichen Verfahren teilgenommen und ein rechtlich geschütztes Interesse an der Aufhebung des angefochtenen Entscheids hat ( Art. 81 Abs. 1 BGG ). Es ist Sache der Beschwerdeführerin darzulegen, dass die Sachurteilsvoraussetzungen erfüllt sind, soweit das nicht offensichtlich ist ( Art. 42 Abs. 2 BGG ; BGE 133 II 249 E. 1.1; 353 E. 1).</w:t>
      </w:r>
    </w:p>
    <w:p>
      <w:r>
        <w:rPr>
          <w:b/>
        </w:rPr>
        <w:t>E. 2</w:t>
      </w:r>
    </w:p>
    <w:p>
      <w:r>
        <w:t>Die von der Bundesanwaltschaft bei der D.________ AG edierten Unterlagen betreffen nicht die Beschwerdeführerin, weshalb das Zwangsmassnahmengericht das von dieser angestrebte Entsiegelungsverfahren als gegenstandslos abgeschrieben hat. Die Beschwerdeführerin hat offenkundig kein rechtlich geschütztes Interesse an der Aufhebung von Dispositiv-Ziffer 1 des angefochtenen Entscheids. In Bezug auf die sie betreffenden Unterlagen der Banque G.________, der Bank J.________ und der Bank I.________ hat die Beschwerdeführerin keinen Siegelungsantrag gestellt, obwohl ihr das Zwangsmassnahmengericht dazu Gelegenheit gab. Auch wenn die Bundesanwaltschaft diese Unterlagen offenbar zunächst versiegelte - z.B. um der Beschwerdeführerin Gelegenheit zu geben, ihr Siegelungsbegehren zu verbessern - so fiel diese Versiegelung jedenfalls spätestens mit dem unbenütztem Ablauf der Frist, die das Zwangsmassnahmengericht der Beschwerdeführerin zur Einreichung eines Siegelungsantrags einräumte, dahin. Da diese Unterlagen somit im Zeitpunkt der Beschwerdeerhebung ans Bundesgericht nicht versiegelt waren, geht die Beschwerde an der Sache vorbei bzw. die Beschwerdeführerin hat von vornherein kein aktuelles Rechtsschutzinteresse, deren Entsiegelung zu verhindern. Auf die Beschwerde ist somit auch insoweit nicht einzutreten, als sie sich gegen Dispositiv-Ziffer 2 des angefochtenen Entscheids richtet.</w:t>
      </w:r>
    </w:p>
    <w:p>
      <w:r>
        <w:rPr>
          <w:b/>
        </w:rPr>
        <w:t>E. 3</w:t>
      </w:r>
    </w:p>
    <w:p>
      <w:r>
        <w:t>Auf die Beschwerde ist nicht einzutreten.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