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1B_499/2016 vom 26. Januar 2017</w:t>
      </w:r>
    </w:p>
    <w:p>
      <w:r>
        <w:t>Bundesgericht, 2017-01-26, DE</w:t>
      </w:r>
    </w:p>
    <w:p>
      <w:r>
        <w:rPr>
          <w:b/>
        </w:rPr>
        <w:t xml:space="preserve">Quelle: </w:t>
      </w:r>
      <w:r>
        <w:t>https://mcp.opencaselaw.ch/entscheid/bger_1B_499_2016</w:t>
      </w:r>
    </w:p>
    <w:p>
      <w:r>
        <w:t>FR: TF 1B_499/2016 du 26 janvier 2017</w:t>
      </w:r>
    </w:p>
    <w:p>
      <w:r>
        <w:t>IT: TF 1B_499/2016 del 26 gennaio 2017</w:t>
      </w:r>
    </w:p>
    <w:p>
      <w:pPr>
        <w:pStyle w:val="Heading2"/>
      </w:pPr>
      <w:r>
        <w:t>Erwägungen</w:t>
      </w:r>
    </w:p>
    <w:p>
      <w:r>
        <w:rPr>
          <w:b/>
        </w:rPr>
        <w:t>E. 1</w:t>
      </w:r>
    </w:p>
    <w:p>
      <w:r>
        <w:t>Die Staatsanwaltschaft Appenzell Ausserrhoden erliess am 20. Januar 2015 einen Strafbefehl gegen A.________ wegen Missachtung der zulässigen Höchstgeschwindigkeit und bestrafte ihn als Halter des Fahrzeuges Mercedes mit dem Kennzeichen "..." mit einer Busse von Fr. 40.--. Dagegen erhob A.________ Einsprache. Am 14. Juli 2016 erhob die Staatsanwaltschaft Appenzell Ausserrhoden Anklage beim Kantonsgericht Appenzell Ausserrhoden. Am 22. Juli 2016 verfügte die zuständige Einzelrichterin des Kantonsgerichts die Rückweisung der Anklage an die Staatsanwaltschaft. Am 3. August 2016 erhob A.________ Beschwerde gegen die Verfügung der Einzelrichterin. Die Staatsanwaltschaft Appenzell Ausserrhoden erhob am 4. August 2016 ebenfalls Beschwerde gegen diese Verfügung.</w:t>
      </w:r>
    </w:p>
    <w:p>
      <w:r>
        <w:t>Das Obergericht Appenzell Ausserrhoden trat mit Entscheid vom 5. Dezember 2016 auf die Beschwerde von A.________ mangels Beschwer nicht ein. Im Beschwerdeverfahren der Staatsanwaltschaft Appenzell Ausserrhoden hob das Obergericht Appenzell Ausserrhoden mit Entscheid vom 12. Dezember 2016 die Verfügung der Einzelrichterin des Kantonsgerichtes vom 22. Juli 2016 auf und wies das Kantonsgericht an, den ihr von der Staatsanwaltschaft am 14. Juli 2016 übertragenen Straffall weiter zu behandeln.</w:t>
      </w:r>
    </w:p>
    <w:p>
      <w:r>
        <w:rPr>
          <w:b/>
        </w:rPr>
        <w:t>E. 2</w:t>
      </w:r>
    </w:p>
    <w:p>
      <w:r>
        <w:t>A.________ führt mit eigener Eingabe vom 21. Dezember 2016 sowie mit Eingabe seines Rechtsanwalts vom 23. Dezember 2016 Beschwerde in Strafsachen gegen die beiden Entscheide des Obergerichts Appenzell Ausserrhoden vom 5. und 12. Dezember 2016. Das Bundesgericht verzichtet auf die Einholung von Vernehmlassungen.</w:t>
      </w:r>
    </w:p>
    <w:p>
      <w:r>
        <w:rPr>
          <w:b/>
        </w:rPr>
        <w:t>E. 3</w:t>
      </w:r>
    </w:p>
    <w:p>
      <w:r>
        <w:t>Die beiden Entscheide des Obergerichts Appenzell Ausserrhoden schliessen das Strafverfahren gegen den Beschwerdeführer nicht ab. Es handelt sich somit um Zwischenentscheide.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