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1B_498/2019 vom 28. September 2020</w:t>
      </w:r>
    </w:p>
    <w:p>
      <w:r>
        <w:t>Bundesgericht, 2020-09-28, DE</w:t>
      </w:r>
    </w:p>
    <w:p>
      <w:r>
        <w:rPr>
          <w:b/>
        </w:rPr>
        <w:t xml:space="preserve">Quelle: </w:t>
      </w:r>
      <w:r>
        <w:t>https://mcp.opencaselaw.ch/entscheid/bger_1B_498_2019</w:t>
      </w:r>
    </w:p>
    <w:p>
      <w:r>
        <w:t>FR: TF 1B_498/2019 du 28 septembre 2020</w:t>
      </w:r>
    </w:p>
    <w:p>
      <w:r>
        <w:t>IT: TF 1B_498/2019 del 28 settembre 2020</w:t>
      </w:r>
    </w:p>
    <w:p>
      <w:pPr>
        <w:pStyle w:val="Heading2"/>
      </w:pPr>
      <w:r>
        <w:t>Erwägungen</w:t>
      </w:r>
    </w:p>
    <w:p>
      <w:r>
        <w:rPr>
          <w:b/>
        </w:rPr>
        <w:t>E. 1</w:t>
      </w:r>
    </w:p>
    <w:p>
      <w:r>
        <w:t>Die Beschwerde in Strafsachen gegen Entsiegelungsentscheide der Zwangsmassnahmengerichte ist nur zulässig, wenn der betroffenen beschuldigten Person wegen eines Eingriffs in ihre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s.a. BGE 140 IV 28 E. 3.2 S. 32; 138 IV 225 E. 6.1 S. 227 f.). Die betreffenden Sachurteilsvoraussetzungen sind in der Beschwerdeschrift ausreichend zu substanziieren, soweit sie nicht offensichtlich erfüllt erscheinen ( Art. 42 Abs. 1-2 BGG ; BGE 141 IV 1 E. 1.1 S. 4 f.; 284 E. 2.3 S. 287; 289 E. 1.3 S. 292; je mit Hinweisen).</w:t>
      </w:r>
    </w:p>
    <w:p>
      <w:r>
        <w:t>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 Auf blosse prozessleitende Verfügungen im Entsiegelungsverfahren ist mangels drohenden nicht wieder gutzumachenden Rechtsnachteils grundsätzlich nicht einzutreten. Dies gilt namentlich für die Anordnung einer richterlichen Triage vor Ausfällung eines Entsiegelungsentscheides (Urteile des Bundesgerichtes 1B_328/2017 vom 26. Januar 2018 E. 1.3; 1B_63/2014 vom 16. April 2014 E. 1.3; 1B_162/2013 vom 3. Juli 2013 E. 1.2; 1B_151/2013 vom 31. Oktober 2013 E. 2.2; je mit Hinweisen).</w:t>
      </w:r>
    </w:p>
    <w:p>
      <w:r>
        <w:rPr>
          <w:b/>
        </w:rPr>
        <w:t>E. 2</w:t>
      </w:r>
    </w:p>
    <w:p>
      <w:r>
        <w:t>Zu prüfen ist, ob und inwieweit hier die Sachurteilsvoraussetzungen der Beschwerde ( Art. 78 ff. BGG ), insbesondere der drohende nicht wieder gutzumachende Rechtsnachteil ( Art. 93 Abs. 1 lit. a BGG ), erfüllt sind. Das Bundesgericht beurteilt diese Frage von Amtes wegen und mit freier Kognition (Art. 29 Abs. 1 und Art. 106 Abs. 1 i.V.m. Art. 42 Abs. 1-2 BGG ; BGE 142 IV 196 E. 1.1 S. 197; je mit Hinweisen).</w:t>
      </w:r>
    </w:p>
    <w:p>
      <w:r>
        <w:rPr>
          <w:b/>
        </w:rPr>
        <w:t>E. 2.1</w:t>
      </w:r>
    </w:p>
    <w:p>
      <w:r>
        <w:t>Soweit im angefochtenen Entscheid lediglich prozessleitende Anordnungen im hängigen Entsiegelungsverfahren getroffen wurden, ist auf materielle Vorbringen zu den noch nicht entsiegelten Asservaten nicht einzutreten. Diesbezüglich droht dem Beschwerdeführer kein nicht wieder gutzumachender Rechtsnachteil.</w:t>
      </w:r>
    </w:p>
    <w:p>
      <w:r>
        <w:rPr>
          <w:b/>
        </w:rPr>
        <w:t>E. 2.2</w:t>
      </w:r>
    </w:p>
    <w:p>
      <w:r>
        <w:t>Soweit der Beschwerdeführer den materiellen Teil-Entsiegelungsentscheid anficht, wäre die Beschwerde zwar grundsätzlich zulässig. Zur Substanziierung eines drohenden nicht wieder gutzumachenden Rechtsnachteils ( Art. 93 Abs. 1 lit. a BGG i.V.m. Art. 248 StPO ) hat er tangierte Geheimnisinteressen jedoch wenigstens kurz zu umschreiben und glaubhaft zu machen. Auch sind (nach der oben dargelegten einschlägigen Praxis) diejenigen Aufzeichnungen und Dateien zu benennen, die dem Geheimnisschutz unterliegen.</w:t>
      </w:r>
    </w:p>
    <w:p>
      <w:r>
        <w:rPr>
          <w:b/>
        </w:rPr>
        <w:t>E. 2.3</w:t>
      </w:r>
    </w:p>
    <w:p>
      <w:r>
        <w:t>Der Beschwerdeführer macht geltend, der angefochtene Entscheid führe zu einem nicht wieder gutzumachenden Rechtsnachteil, da seine "rechtlich geschützten Geheimnisinteressen" tangiert würden, "namentlich höchstpersönliche Geheimnisse, Geschäftsgeheimnisse sowie das Anwaltsgeheimnis".</w:t>
      </w:r>
    </w:p>
    <w:p>
      <w:r>
        <w:rPr>
          <w:b/>
        </w:rPr>
        <w:t>E. 2.4</w:t>
      </w:r>
    </w:p>
    <w:p>
      <w:r>
        <w:t>Nach den Feststellungen der Vorinstanz hat der Beschwerdeführer im Entsiegelungsverfahren aufgelistet, bei welchen Asservaten sich seiner Ansicht nach geheimnisrelevante Unterlagen und Aufzeichnungen befinden. Das ZMG hat eine entsprechende Aussonderung getroffen und wie folgt über den Geheimnisschutz entschieden:</w:t>
      </w:r>
    </w:p>
    <w:p>
      <w:r>
        <w:rPr>
          <w:b/>
        </w:rPr>
        <w:t>E. 2.5</w:t>
      </w:r>
    </w:p>
    <w:p>
      <w:r>
        <w:t>Das Asservat Nr. A1/13, welches nach der Darstellung des Beschwerdeführers Unterlagen enthalte, welche vom</w:t>
      </w:r>
    </w:p>
    <w:p>
      <w:r>
        <w:t>Anwaltsgeheimnis geschützt seien, wurde von der Vorinstanz ausgesondert und noch nicht entsiegelt. Diesbezüglich wird das ZMG eine richterliche Triage vornehmen und einen separaten Teilentscheid fällen (vgl. angefochtener Entscheid, E. 4.3.4 S. 8, und Dispositiv-Ziffer 3). Der angefochtene materielle Teil-Entsiegelungsentscheid (Dispositiv-Ziffern 1-2) betrifft somit das Anwaltsgeheimnis nicht. Analoges gilt für die Asservate Nrn. A1/9-10 und A1/17, welche angeblich gewisse "höchstpersönliche Geheimnisse" enthalten. Auch diesbezüglich wird das ZMG eine eigene Sichtung vornehmen und wurde noch kein Entsiegelungsentscheid gefällt (vgl. angefochtener Entscheid, E. 4.3.2 S. 6 f., und Dispositiv-Ziffer 3).</w:t>
      </w:r>
    </w:p>
    <w:p>
      <w:r>
        <w:rPr>
          <w:b/>
        </w:rPr>
        <w:t>E. 2.6</w:t>
      </w:r>
    </w:p>
    <w:p>
      <w:r>
        <w:t>Ebenfalls ausgesondert hat die Vorinstanz das Asservat Nr. A1/26 (elektronische Aufzeichnungen auf einem externen Speicher), welches dem</w:t>
      </w:r>
    </w:p>
    <w:p>
      <w:r>
        <w:t>Arzt- bzw.</w:t>
      </w:r>
    </w:p>
    <w:p>
      <w:r>
        <w:t>Patientengeheimnis (sowie dem Geschäftsgeheimnis) unterliegen könnte. Diesbezüglich wird das ZMG eine weitere prozessleitende Verfügung bzw. einen separaten Entsiegelungs-Teilentscheid ausfällen (vgl. angefochtener Entscheid, E. 4.3.3 S. 7, und Dispositiv-Ziffer 4).</w:t>
      </w:r>
    </w:p>
    <w:p>
      <w:r>
        <w:rPr>
          <w:b/>
        </w:rPr>
        <w:t>E. 2.7</w:t>
      </w:r>
    </w:p>
    <w:p>
      <w:r>
        <w:t>Was den angefochtenen materiellen Teil-Entsiegelungsentscheid (Dispositiv-Ziffern 1-2) betrifft, hat der Beschwerdeführer weder im vorinstanzlichen noch im Verfahren vor dem Bundesgericht geschützte Geheimnisrechte ausreichend substanziiert. Zwar macht er geltend, bei den Asservaten Nrn. A1/11, 14-16, 18-19 und 21 seien "Geschäftsgeheimnisse" tangiert. Wie schon die Vorinstanz zutreffend erwogen hat, beziehen sich diese Unterlagen und Aufzeichnungen jedoch auf verdächtige Geschäftsvorgänge, die strafrechtlich zu untersuchen sind (vgl. angefochtener Entscheid, E. 4.3.3 S. 7). Der Beschuldigte kann die Erhebung dieser Beweismittel nicht unter pauschaler Berufung auf angebliche Geschäftsgeheimnisse unterbinden. Das blosse prozesstaktische Parteiinteresse einer beschuldigten Person, wonach es der Untersuchungsbehörde möglichst erschwert werden sollte, belastendes Beweismaterial zu erheben, fällt nicht unter die schutzwürdigen Geheimnisinteressen im Sinne von Art. 248 Abs. 1 StPO i.V.m. Art. 93 Abs. 1 lit. a BGG ( BGE 142 IV 207 E. 11 S. 228).</w:t>
      </w:r>
    </w:p>
    <w:p>
      <w:r>
        <w:rPr>
          <w:b/>
        </w:rPr>
        <w:t>E. 3</w:t>
      </w:r>
    </w:p>
    <w:p>
      <w:r>
        <w:t>Nach dem Gesagten ist auf die Beschwerde nicht einzutreten.</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