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1B_498/2016 vom 24. Januar 2017</w:t>
      </w:r>
    </w:p>
    <w:p>
      <w:r>
        <w:t>Bundesgericht, 2017-01-24, DE</w:t>
      </w:r>
    </w:p>
    <w:p>
      <w:r>
        <w:rPr>
          <w:b/>
        </w:rPr>
        <w:t xml:space="preserve">Quelle: </w:t>
      </w:r>
      <w:r>
        <w:t>https://mcp.opencaselaw.ch/entscheid/bger_1B_498_2016</w:t>
      </w:r>
    </w:p>
    <w:p>
      <w:r>
        <w:t>FR: TF 1B_498/2016 du 24 janvier 2017</w:t>
      </w:r>
    </w:p>
    <w:p>
      <w:r>
        <w:t>IT: TF 1B_498/2016 del 24 gennaio 2017</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Unzulässig ist allerdings der Antrag, es sei festzustellen, die Vorinstanz habe in E. 3 ihres Entscheids den Sachverhalt nicht korrekt festgestellt. An einem solchen Feststellungsbegehren hat der Beschwerdeführer kein Rechtsschutzinteresse, ganz abgesehen davon, dass das Bundesgericht Sachverhaltsfeststellungen ohnehin nur auf offensichtliche Fehler bzw. Willkür überprüft ( Art. 97 Abs. 1 BGG ). Die übrigen Sachurteilsvoraussetzungen geben zu keinen Bemerkungen Anlass, sodass auf die Beschwerde unter dem angeführten Vorbehalt einzutreten ist.</w:t>
      </w:r>
    </w:p>
    <w:p>
      <w:r>
        <w:rPr>
          <w:b/>
        </w:rPr>
        <w:t>E. 2</w:t>
      </w:r>
    </w:p>
    <w:p>
      <w:r>
        <w:t>Untersuchungshaft kann unter anderem angeordnet werden, wenn ein dringender Tatverdacht in Bezug auf ein Verbrechen oder Vergehen sowie Fluchtgefahr besteht ( Art. 221 Abs. 1 StPO ).</w:t>
      </w:r>
    </w:p>
    <w:p>
      <w:r>
        <w:rPr>
          <w:b/>
        </w:rPr>
        <w:t>E. 2.1</w:t>
      </w:r>
    </w:p>
    <w:p>
      <w:r>
        <w:t>Der Autohändler B.________ sagte gegenüber der Polizei aus, er habe am Abend des 16. März 2016 an der M.________-strasse xxx in seinem Auto gesessen und auf einen Kunden gewartet, als plötzlich ein maskierter Unbekannter die Beifahrertür geöffnet und sich auf den Beifahrersitz gesetzt habe. Der Unbekannte habe ihn mit einer Pistole bedroht und Geld verlangt. Er habe ihm daraufhin Fr. 2'800.-- gegeben. Kurz darauf habe er dem Räuber einen Faustschlag versetzen können, worauf es zu einer tätlichen Auseinandersetzung gekommen sei. Der Angreifer habe die Flucht ergriffen, er sei ihm gefolgt, worauf dieser ihn mit einem Pfefferspray handlungsunfähig gemacht habe. Der in der Nachbarschaft wohnhafte C.________ sagte aus, er habe Hilfeschreie gehört, sei auf den Balkon gegangen und habe gesehen, wie eine Person einer anderen ins Gesicht gesprayt habe. Der Sprayer sei weggerannt. Er sei sofort ans Kinderzimmerfenster gegangen, von wo aus er gesehen habe, dass der Sprayer in Richtung O.________-strasse gerannt, beim blauen Container in ein abgestelltes Auto gestiegen und weggefahren sei (Rapport der Zuger Polizei vom 22. März 2016). Nach dem Bericht des kriminaltechnischen Dienstes vom 8. April 2016 konnten Spuren von der rechten Vorderseite der vom Opfer getragenen Jacke sowie von einem beim Standort des Fluchtfahrzeugs gefundenen Zigarettenstummel A.________ zugeordnet werden.</w:t>
      </w:r>
    </w:p>
    <w:p>
      <w:r>
        <w:t>Aufgrund dieses Spurenbilds ist der Beschwerdeführer dringend verdächtig, B.________ am 16. März 2016 überfallen und beraubt zu haben. Daran können die Aussagen von Alibizeugen, die den Beschwerdeführer zur Tatzeit im Restaurant P.________ in Q.________ gesehen haben wollen, nichts ändern, zumal sie jedenfalls teilweise seinem näheren Umfeld zuzuordnen sind (Ehefrau, Bruder und dessen Freundin). Zudem liegen Q.________ und N.________ nur rund 16 km bzw. wenige Autominuten voneinander entfernt, sodass der Beschwerdeführer auch dann nicht als Täter ausscheiden würde, wenn er sich am fraglichen Abend tatsächlich zeitweise im Restaurant P.________ aufgehalten haben sollte. Es wird Sache des Sachrichters sein zu beurteilen, ob diese Aussagen und die prima vista wenig überzeugenden Erklärungsversuche des Beschwerdeführers, wie seine DNA-Spuren ohne seine Beteiligung am Tatgeschehen an die Jacke des Opfers und an den Zigarettenstummel beim Standort des Fluchtfahrzeugs gekommen sein könnten, Zweifel an seiner Täterschaft zu erwecken vermögen. Sie sind indessen von vornherein ungeeignet, den dringenden Tatverdacht, was hier allein zu beurteilen ist, zu zerstreuen. Der Beschwerdeführer ist des bewaffneten Raubs und damit eines Verbrechens (Art. 140 Ziff. 1 und 2 i.V.m. Art. 10 Abs. 2 StGB ) dringend verdächtig, der allgemeine Haftgrund ist erfüllt.</w:t>
      </w:r>
    </w:p>
    <w:p>
      <w:r>
        <w:rPr>
          <w:b/>
        </w:rPr>
        <w:t>E. 2.2</w:t>
      </w:r>
    </w:p>
    <w:p>
      <w:r>
        <w:t>Als besonderen Haftgrund nimmt das Obergericht Fluchtgefahr an. Der Beschwerdeführer hat schon vor Obergericht nicht bestritten, dass solche besteht, und tut das auch in der vorliegenden Beschwerde (zu Recht) nicht. Es ist somit davon auszugehen, dass Fluchtgefahr als besonderer Haftgrund besteht.</w:t>
      </w:r>
    </w:p>
    <w:p>
      <w:r>
        <w:rPr>
          <w:b/>
        </w:rPr>
        <w:t>E. 2.3</w:t>
      </w:r>
    </w:p>
    <w:p>
      <w:r>
        <w:t>Der Beschwerdeführer rügt eine Verletzung des Beschleunigungsgebots von Art. 5 StPO .</w:t>
      </w:r>
    </w:p>
    <w:p>
      <w:r>
        <w:rPr>
          <w:b/>
        </w:rPr>
        <w:t>E. 2.3.1</w:t>
      </w:r>
    </w:p>
    <w:p>
      <w:r>
        <w:t>Der Beschwerdeführer hat bis jetzt rund ein halbes Jahr Untersuchungshaft erstanden. Überhaft droht somit nicht, da qualifizierter Raub (mit Schusswaffe) mit einer Mindeststrafe von einem Jahr Freiheitsstrafe bedroht wird ( Art. 140 Ziff. 2 StGB ).</w:t>
      </w:r>
    </w:p>
    <w:p>
      <w:r>
        <w:rPr>
          <w:b/>
        </w:rPr>
        <w:t>E. 2.3.2</w:t>
      </w:r>
    </w:p>
    <w:p>
      <w:r>
        <w:t>Im Weiteren kann eine Haft die bundesrechtskonforme Dauer auch dann überschreiten, wenn das Strafverfahren nicht genügend vorangetrieben wird (vgl. Art. 31 Abs. 3 Satz 2 BV , Art. 5 Abs. 3 EMRK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 BGE 137 IV 92 E. 3.1 S. 96 ; 128 I 149 E. 2.2 S. 151 f.; je mit Hinweisen; NIKLAUS OBERHOLZER, Grundzüge des Strafprozessrechts, 3. Aufl. 2012, Rz. 937).</w:t>
      </w:r>
    </w:p>
    <w:p>
      <w:r>
        <w:t>Vorliegend sind die kantonalen Gerichte zutreffend zur Auffassung gelangt, die Staatsanwaltschaft trage dem Beschleunigungsgebot zu wenig Rechnung; bereits das Zwangsmassnahmengericht hat indessen die Staatsanwaltschaft angehalten, die noch anstehenden Untersuchungshandlungen nach Möglichkeit innert dreier Monate (d.h. bis Ende Januar 2017) durchzuführen. Es ist daher davon auszugehen, dass das Verfahren nunmehr beförderlich weitergeführt wird. Es liegt damit jedenfalls keine schwere Verletzung des Beschleunigungsgebots im Sinn der angeführten Rechtsprechung vor, die zu einer Haftentlassung führen könnte. Da die kantonalen Gerichte mit der Fristansetzung an die Staatsanwaltschaft das zur Beschleunigung des Verfahrens Gebotene bereits angeordnet haben, besteht für das Bundesgericht zurzeit kein Anlass für weitere Massnahmen.</w:t>
      </w:r>
    </w:p>
    <w:p>
      <w:r>
        <w:rPr>
          <w:b/>
        </w:rPr>
        <w:t>E. 3</w:t>
      </w:r>
    </w:p>
    <w:p>
      <w:r>
        <w:t>Die Beschwerde erweist sich somit als unbegründet und ist abzuweisen, soweit darauf einzutreten ist.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