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1B_495/2011 vom 18. Oktober 2011</w:t>
      </w:r>
    </w:p>
    <w:p>
      <w:r>
        <w:t>Bundesgericht, 2011-10-18, FR</w:t>
      </w:r>
    </w:p>
    <w:p>
      <w:r>
        <w:rPr>
          <w:b/>
        </w:rPr>
        <w:t xml:space="preserve">Quelle: </w:t>
      </w:r>
      <w:r>
        <w:t>https://mcp.opencaselaw.ch/entscheid/bger_1B_495_2011</w:t>
      </w:r>
    </w:p>
    <w:p>
      <w:r>
        <w:t>FR: TF 1B_495/2011 du 18 octobre 2011</w:t>
      </w:r>
    </w:p>
    <w:p>
      <w:r>
        <w:t>IT: TF 1B_495/2011 del 18 ottobre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En l'occurrence, on ne saurait reprocher aux recourants de ne pas avoir pris de conclusions civiles, dans la mesure où la nature de l'affaire permet de discerner sans ambiguïté quelles prétentions civiles pourraient être élevées et en quoi la décision attaquée pourrait influencer négativement le jugement de celles-ci (cf. ATF 131 IV 195 consid. 1.2.2 p. 199; 127 IV 185 consid. 1a p. 187 et les arrêts cités). La qualité pour recourir doit ainsi leur être reconnue en vertu de l'art. 81 al. 1 let. b ch. 5 LTF.</w:t>
      </w:r>
    </w:p>
    <w:p>
      <w:r>
        <w:rPr>
          <w:b/>
        </w:rPr>
        <w:t>E. 1.2</w:t>
      </w:r>
    </w:p>
    <w:p>
      <w:r>
        <w:t>La décision attaquée constitue une décision incidente, qui ne met pas fin à la procédure. Une telle décision peut faire l'objet d'un recours au Tribunal fédéral notamment si elle peut causer un préjudice irréparable au sens de l' art. 93 al. 1 let. a LTF . Cela suppose, en matière pénale, que la partie recourante soit exposée à un dommage de nature juridique, qui ne puisse pas être réparé ultérieurement par un jugement final ou une autre décision qui lui serait favorable ( ATF 136 IV 92 consid. 4 p. 95; 134 I 83 consid. 3.1 p. 86 s.; 133 IV 335 consid. 4 p. 338; 139 consid. 4 p. 141). Les recourants font valoir à cet égard que l'expert contesté serait amené à entendre l'enfant D.________ - voire également C.________ - ce qui conduirait à des auditions inutiles au cas où cet expert serait finalement écarté. Il est vrai que le mandat confié à l'expert impliquera au moins une audition de D.________, qui a lui-même été traumatisé par les événements dont il a apparemment été témoin. Or, de manière générale, il y a lieu de limiter au maximum les auditions des enfants victimes, cette exigence ayant été reprise à l' art. 154 al. 4 let. b CPP . La désignation d'un expert d'emblée contesté pourrait donc causer de ce point de vue un préjudice irréparable (cf. arrêt 1B_36/2010 du 19 avril 2010 consid. 1.2.2). Il convient en outre de relever que l'expert désigné en l'espèce devrait se faire assister d'un interprète puisqu'il ne parle pas la langue de l'enfant. Cela impliquerait donc une confrontation avec deux adultes inconnus de l'enfant et une prolongation de la durée de l'audition de cet enfant, qui a déjà été entendu dans le cadre de l'enquête. Au demeurant, une répétition de l'audition de l'enfant au cas où l'expert désigné serait finalement écarté est manifestement de nature à compromettre la recherche de la vérité, de sorte que l'on peut admettre, dans ces circonstances très particulières, que la décision litigieuse est de nature à causer un préjudice irréparable au sens de l' art. 93 al. 1 let. a LTF .</w:t>
      </w:r>
    </w:p>
    <w:p>
      <w:r>
        <w:rPr>
          <w:b/>
        </w:rPr>
        <w:t>E. 1.3</w:t>
      </w:r>
    </w:p>
    <w:p>
      <w:r>
        <w:t>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Les recourants contestent en premier lieu que l'expert désigné dispose des qualités requises au sens de l' art. 183 al. 1 CPP . Aux termes de cette disposition, seule peut être désignée comme expert une personne physique qui, dans le domaine concerné, possède les connaissances et les compétences nécessaires.</w:t>
      </w:r>
    </w:p>
    <w:p>
      <w:r>
        <w:rPr>
          <w:b/>
        </w:rPr>
        <w:t>E. 2.1</w:t>
      </w:r>
    </w:p>
    <w:p>
      <w:r>
        <w:t>En l'espèce, les recourants relèvent notamment que l'expert désigné, qui devra nécessairement entendre l'enfant D.________, n'est pas pédopsychiatre et qu'il a d'abord soutenu qu'il ne pourrait remplir sa mission qu'avec les deux autres experts initialement prévus. Ils mettent également en doute la disponibilité de cet expert, qui vit à Montréal et qui aurait de très nombreux engagements professionnels. Ils font en outre valoir un motif de récusation à l'encontre de l'expert désigné, qui se serait entretenu de l'affaire avec un tiers. Ce motif, découvert postérieurement à la décision querellée, aurait été invoqué devant le Ministère public. A cela s'ajoute le fait que l'expert en question fait l'objet de nombreuses critiques, ce qui compliquera l'appréciation de son expertise. De plus, il ne parle pas l'italien, seule langue maîtrisée par l'enfant D.________, qui vit en Italie depuis plusieurs années. L'intervention d'un interprète empêcherait donc une communication directe et compromettrait l'expression de la vérité, la confrontation de l'enfant avec plusieurs personnes inconnues étant en outre susceptible de le "désécuriser".</w:t>
      </w:r>
    </w:p>
    <w:p>
      <w:r>
        <w:rPr>
          <w:b/>
        </w:rPr>
        <w:t>E. 2.2</w:t>
      </w:r>
    </w:p>
    <w:p>
      <w:r>
        <w:t>Si ces éléments ne sont pas tous de nature à remettre en question les qualités de l'expert désigné, leur cumul permet légitimement de douter qu'il s'agisse de la personne adéquate pour mener à bien l'expertise ordonnée. Le fait qu'il ne parle pas la langue de l'enfant à entendre est à lui seul problématique, la communication avec celui-ci étant primordiale dans le cas d'espèce. Si c'est un interprète qui établit le contact direct avec l'enfant, la qualité de la communication avec l'expert s'en trouverait amoindrie. Il est en effet évident qu'une audition directe par l'expert lui-même est plus favorable à une expression libre de l'enfant et qu'elle permet une appréciation plus précise de ses paroles. Il est en outre vraisemblable qu'un pédopsychiatre soit mieux à même d'établir un rapport de confiance avec l'enfant et de limiter le traumatisme causé par une telle audition. Le Tribunal cantonal a considéré à cet égard que l'expert désigné pourrait le cas échéant "demander le concours d'un pédopsychiatre parlant la langue de l'enfant". On ne voit cependant pas pour quelles raisons ce pédopsychiatre ne serait pas désigné directement, puisqu'il apparaît nécessaire que l'expert puisse recueillir et apprécier la parole de l'enfant sans intermédiaire, une multiplication des intervenants n'étant en outre pas souhaitable pour les motifs exposés précédemment. Il semble à première vue que l'expert proposé par les recourants réunisse les qualités requises, puisqu'il est, selon eux, pédopsychiatre, italophone et actif dans une zone géographique plus proche de la Suisse et du domicile italien de l'enfant.</w:t>
      </w:r>
    </w:p>
    <w:p>
      <w:r>
        <w:t>En définitive, sans remettre en cause les compétences intrinsèques de l'expert désigné par le Ministère public, on peut néanmoins considérer qu'il ne dispose pas des qualités requises pour mener à bien l'expertise ordonnée dans le cas présent. Ainsi, la désignation du Prof. E.________ en qualité d'expert viole l' art. 183 al. 1 CPP , ce qui justifie l'admission du recours sur ce point. Avant de désigner l'expert proposé par les recourants, il incombera à la direction de la procédure, en l'occurrence le Ministère public, de vérifier s'il dispose des qualités requises et s'il est disponible pour mener à bien l'expertise dans un délai acceptable. Si tel n'est pas le cas, il conviendra de désigner un autre expert répondant aux exigences précitées. La conclusion tendant à la désignation du Dr H.________ par le Tribunal fédéral doit donc être rejetée.</w:t>
      </w:r>
    </w:p>
    <w:p>
      <w:r>
        <w:rPr>
          <w:b/>
        </w:rPr>
        <w:t>E. 3</w:t>
      </w:r>
    </w:p>
    <w:p>
      <w:r>
        <w:t>Il s'ensuit que le recours doit être admis partiellement et l'ordonnance attaquée annulée. La cause est renvoyée au Ministère public pour nouvelle décision dans le sens des considérants. Il n'y a pas lieu de percevoir des frais judiciaires ( art. 66 al. 4 LTF ). Les recourants n'étant pas assistés d'un avocat, il ne leur est pas octroyé d'indemnité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