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1B_492/2017 vom 25. April 2018</w:t>
      </w:r>
    </w:p>
    <w:p>
      <w:r>
        <w:t>Bundesgericht, 2018-04-25, FR</w:t>
      </w:r>
    </w:p>
    <w:p>
      <w:r>
        <w:rPr>
          <w:b/>
        </w:rPr>
        <w:t xml:space="preserve">Quelle: </w:t>
      </w:r>
      <w:r>
        <w:t>https://mcp.opencaselaw.ch/entscheid/bger_1B_492_2017</w:t>
      </w:r>
    </w:p>
    <w:p>
      <w:r>
        <w:t>FR: TF 1B_492/2017 du 25 avril 2018</w:t>
      </w:r>
    </w:p>
    <w:p>
      <w:r>
        <w:t>IT: TF 1B_492/2017 del 25 aprile 2018</w:t>
      </w:r>
    </w:p>
    <w:p>
      <w:pPr>
        <w:pStyle w:val="Heading2"/>
      </w:pPr>
      <w:r>
        <w:t>Erwägungen</w:t>
      </w:r>
    </w:p>
    <w:p>
      <w:r>
        <w:rPr>
          <w:b/>
        </w:rPr>
        <w:t>E. 1</w:t>
      </w:r>
    </w:p>
    <w:p>
      <w:r>
        <w:t>Le Tribunal fédéral examine d'office sa compétence ( art. 29 al. 1 LTF ) et contrôle librement la recevabilité des recours qui lui sont soumis ( ATF 143 IV 357 consid. 1 p. 358).</w:t>
      </w:r>
    </w:p>
    <w:p>
      <w:r>
        <w:rPr>
          <w:b/>
        </w:rPr>
        <w:t>E. 1.1</w:t>
      </w:r>
    </w:p>
    <w:p>
      <w:r>
        <w:t>Le recours en matière pénale ( art. 78 al. 1 LTF ) - déposé en temps utile (art. 45 al. 1 et 100 al. 1 LTF) - est ouvert contre une décision prise au cours d'une procédure pénale et confirmée en dernière instance cantonale ( art. 80 LTF ).</w:t>
      </w:r>
    </w:p>
    <w:p>
      <w:r>
        <w:rPr>
          <w:b/>
        </w:rPr>
        <w:t>E. 1.2</w:t>
      </w:r>
    </w:p>
    <w:p>
      <w:r>
        <w:t>L'arrêt entrepris - qui confirme le refus du Ministère public d'ordonner la production de pièces bancaires au dossier - ne met pas un terme à la procédure pénale. Le recours n'est donc recevable que si l'acte attaqué est susceptible de causer un préjudice irréparable ( art. 93 al. 1 let. a LTF )</w:t>
      </w:r>
    </w:p>
    <w:p>
      <w:r>
        <w:t>En matière pénale, le préjudice irréparable au sens de l' art. 93 al. 1 let. a LTF se rapporte à un dommage de nature juridique qui ne puisse pas être réparé ultérieurement par un jugement final ou une autre décision favorable au recourant ( ATF 141 IV 284 consid. 2.2 p. 287).</w:t>
      </w:r>
    </w:p>
    <w:p>
      <w:r>
        <w:t>Les décisions relatives à l'administration des preuves ne sont en principe pas de nature à causer un dommage irréparable puisqu'il est normalement possible, à l'occasion d'un recours contre la décision finale, d'obtenir que la preuve refusée à tort soit mise en oeuvre si elle devait avoir été écartée pour des raisons non pertinentes ou en violation des droits fondamentaux du recourant ( ATF 134 III 188 consid. 2.3 p. 191). Cette règle comporte toutefois des exceptions. Il en va notamment ainsi lorsque le refus d'instruire porte sur des moyens de preuve qui risquent de disparaître et qui visent des faits décisifs non encore élucidés, ou encore quand la sauvegarde de secrets est en jeu (arrêts 1B_428/2017 du 16 octobre 2017 consid. 2.2; 1B_432/2016 du 25 novembre 2016 consid. 1.2; 1B_189/2012 du 17 août 2012 consid. 1.2 publié in SJ 2013 I 89).</w:t>
      </w:r>
    </w:p>
    <w:p>
      <w:r>
        <w:t>A cet égard, les recourants ont requis la production de documents couvrant une période entre 2004 et 2013 et se prévalent d'un risque de destruction par les établissements bancaires sollicités de ceux datant de plus de dix ans. Sous l'angle de la recevabilité, ces affirmations suffisent pour considérer qu'il existe un préjudice irréparable que les moyens de preuve demandés antérieurs au 31 décembre 2007disparaissent.</w:t>
      </w:r>
    </w:p>
    <w:p>
      <w:r>
        <w:t>Pour les pièces postérieures au 1er janvier 2008 - dont celles relatives à septembre, octobre et novembre 2008, soit la période retenue en l'état par le Ministère public pour examiner d'éventuelles attributions tardives de la part du prévenu -, leur réquisition ultérieure ne paraît pas d'emblée impossible et, partant, le recours est irrecevable en ce qui les concerne.</w:t>
      </w:r>
    </w:p>
    <w:p>
      <w:r>
        <w:rPr>
          <w:b/>
        </w:rPr>
        <w:t>E. 1.3</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Les recourants, parties plaignantes, ne développent aucune argumentation à cet égard, ce en violation de leurs obligations en matière de motivation (cf. art. 42 al. 2 LTF ; ATF 141 IV 1 consid. 1.1 p. 4 s.). Le fait que des infractions au patrimoine soient examinées dans le cadre de la procédure pénale ne suffit pas pour retenir l'existence d'un dommage (arrêt 1B_476/2017 du 4 avril 2018 consid. 1.2.1) ou à démontrer que le préjudice peut-être subi soit en lien direct avec les infractions dénoncées (arrêt 6B_857/2017 du 3 avril 2018 consid. 2.1); cela vaut d'autant plus lorsque la problématique ou certains aspects de celle-ci pourraient présenter un caractère purement civil, notamment selon la période en cause (cf. en particulier les obligations de rétrocession du mandataire).</w:t>
      </w:r>
    </w:p>
    <w:p>
      <w:r>
        <w:t>Cela étant, à suivre notamment l'argumentation développée dans le recours, on comprend que les deux recourants reprochent en particulier à l'intimé de n'avoir pas respecté leurs instructions lors des investissements effectués, d'avoir procédé à leur détriment à des opérations lui permettant d'augmenter ses propres commissions et de ne pas leur avoir restitué certains montants qui leur appartiendraient. Dans le cadre de la présente procédure, ces éléments sont en l'état suffisants pour retenir l'existence d'un dommage en lien avec les faits dénoncés (cf. également les montants avancés dans les plaintes du 19 juillet 2013 [au moins de EUR 1'500'000.- pour la Fondation A.________] et du 10 décembre 2014 [707'423 fr. 80 pour feu C.B.________ et 591'202 fr. 10 pour B.B.________]) et leur reconnaître la qualité pour recourir, cela quand bien même le recourant B.B.________ a été invité à préciser sa plainte par rapport aux faits reprochés à l'intimé s'agissant de son patrimoine et de celui de feu C.B.________.</w:t>
      </w:r>
    </w:p>
    <w:p>
      <w:r>
        <w:rPr>
          <w:b/>
        </w:rPr>
        <w:t>E. 1.4</w:t>
      </w:r>
    </w:p>
    <w:p>
      <w:r>
        <w:t>L'objet de la contestation porté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p. 156).</w:t>
      </w:r>
    </w:p>
    <w:p>
      <w:r>
        <w:t>En l'occurrence, l'examen du Tribunal fédéral est limité à la question du refus du Ministère public, confirmé par l'autorité précédente, d'ordonner la production de documents pour la période située entre 2004 et le 31 décembre 2007 (cf. consid. 1.2 ci-dessus), les autres problématiques soulevées devant l'instance précédente n'étant plus remises en cause.</w:t>
      </w:r>
    </w:p>
    <w:p>
      <w:r>
        <w:t>Le Ministère public soutient en substance que l'objectif de la requête du 31 août 2017 était de déterminer les rétributions perçues par l'intimé D.________ au cours de la gestion des patrimoines confiés et non pas d'examiner d'éventuelles attributions tardives. Les recourants prétendent en revanche que leur demande visait "tous les éléments indispensables à la mission de l'expert". Or, il ressort du mandat d'expertise du 18 août 2017 que des questions en lien avec d'éventuelles attributions tardives ont aussi été soumises aux experts (cf. p. 4 de cette écriture). Partant, au stade de la recevabilité, on ne saurait retenir que la demande initiale aurait exclu cette problématique spécifique.</w:t>
      </w:r>
    </w:p>
    <w:p>
      <w:r>
        <w:t>Il y a encore lieu de rappeler aux recourants que l'ordonnance de non-entrée en matière partielle rendue le 14 décembre 2017, limitant en substance l'instruction pénale en lien avec les attributions tardives au mois de septembre à novembre 2008 ne saurait être remise en cause dans le cadre de la présente procédure, les éventuels arguments développés dans ce sens étant par conséquent irrecevables.</w:t>
      </w:r>
    </w:p>
    <w:p>
      <w:r>
        <w:rPr>
          <w:b/>
        </w:rPr>
        <w:t>E. 1.5</w:t>
      </w:r>
    </w:p>
    <w:p>
      <w:r>
        <w:t>Les pièces produites au cours de la procédure fédérale, notamment par les recourants, qui sont ultérieures à l'arrêt attaqué sont irrecevables ( art. 99 al. 1 LTF ), faute pour les parties d'avoir démontré, de manière conforme à leurs obligations en matière de motivation, que leur production découlerait notamment de l'arrêt attaqué.</w:t>
      </w:r>
    </w:p>
    <w:p>
      <w:r>
        <w:rPr>
          <w:b/>
        </w:rPr>
        <w:t>E. 1.6</w:t>
      </w:r>
    </w:p>
    <w:p>
      <w:r>
        <w:t>Partant, dans les limites susmentionnées, il y a lieu d'entrer en matière.</w:t>
      </w:r>
    </w:p>
    <w:p>
      <w:r>
        <w:rPr>
          <w:b/>
        </w:rPr>
        <w:t>E. 2</w:t>
      </w:r>
    </w:p>
    <w:p>
      <w:r>
        <w:t>Invoquant une appréciation arbitraire des preuves, les recourants reprochent à l'autorité précédente d'avoir considéré que la mise en oeuvre de l'expertise suffirait à assurer la sauvegarde de la documentation requise. Ils soutiennent que leur demande, notamment quant aux établissements qu'ils ont indiqués, se fonderait sur les avis des spécialistes consultés et ne constituerait ainsi pas une recherche indéterminée de preuves; elle permettrait en substance d'obtenir des éléments pertinents par rapport aux rémunérations indirectes que le prévenu aurait touchées, ainsi que d'établir si ce dernier avait procédé à des attributions tardives en leur défaveur.</w:t>
      </w:r>
    </w:p>
    <w:p>
      <w:r>
        <w:rPr>
          <w:b/>
        </w:rPr>
        <w:t>E. 2.1</w:t>
      </w:r>
    </w:p>
    <w:p>
      <w:r>
        <w:t>L' art. 265 CPP permet à l'autorité d'instruction d'obtenir auprès de leurs détenteurs les objets ou valeurs qui doivent être séquestrés en application de l' art. 263 CPP . L'ordre peut être assorti d'une commination de la peine prévue à l' art. 292 CP ( art. 265 al. 3 CPP ). L'ordre de dépôt permet à son destinataire de fournir volontairement les objets ou valeurs requis, sans recourir à des mesures de contrainte ( art. 265 al. 4 CPP ; ATF 143 IV 21 consid. 3.1 p. 23).</w:t>
      </w:r>
    </w:p>
    <w:p>
      <w:r>
        <w:t>Cette disposition a ainsi pour unique but d'amener le détenteur d'objets ou de valeurs patrimoniales qui doivent être séquestrés à les déposer afin d'éviter cette mesure de contrainte (arrêt 6B_247/2017 du 21 mars 2018 consid. 3.1).</w:t>
      </w:r>
    </w:p>
    <w:p>
      <w:r>
        <w:rPr>
          <w:b/>
        </w:rPr>
        <w:t>E. 2.2</w:t>
      </w:r>
    </w:p>
    <w:p>
      <w:r>
        <w:t>Quant à l' art. 263 al. 1 let. a CPP , il permet à l'autorité pénale de mettre sous séquestre des objets et des valeurs patrimoniales appartenant au prévenu ou à des tiers notamment lorsqu'il est probable qu'ils seront utilisés comme moyens de preuve.</w:t>
      </w:r>
    </w:p>
    <w:p>
      <w:r>
        <w:t>Le séquestre probatoire au sens de cette disposition est la mise sous main de justice des objets ou valeurs patrimoniales découverts lors d'une perquisition ou au cours de l'enquête et permettant la manifestation de la vérité; la protection et la conservation de ces objets est ainsi garantie ( ATF 143 IV 270 consid. 7.5 p. 283; arrêt 1B_100/2017 du 25 avril 2017 consid. 2.1 et les références citées). Dans le cadre de l'examen de cette mesure, l'autorité statue sous l'angle de la vraisemblance, examinant des prétentions encore incertaines ( ATF 141 IV 360 consid. 3.2 p. 364) ou se rapportant à des faits non encore établis (arrêt 1B_103/2012 du 5 juillet 2012 consid. 2.1). L'autorité doit pouvoir décider rapidement du séquestre (cf. art. 263 al. 2 CPP ), ce qui exclut qu'elle résolve des questions juridiques complexes ou qu'elle attende d'être renseignée de manière exacte et complète sur les faits avant d'agir ( ATF 141 IV 360 consid. 3.2 p. 364). S'agissant en particulier d'un séquestre portant sur des documents, il n'y a pas lieu de se montrer trop exigeant quant au lien de connexité avec l'infraction : il suffit que l'objet du séquestre ait un rapport avec l'infraction et présente une utilité potentielle pour l'enquête en cours (arrêts 1B_100/2017 du 25 avril 2017 consid. 2.1; 1B_103/2012 du 5 juillet 2012 consid. 2.1; voir également ATF 143 IV 270 consid. 7.5 p. 282 s.).</w:t>
      </w:r>
    </w:p>
    <w:p>
      <w:r>
        <w:rPr>
          <w:b/>
        </w:rPr>
        <w:t>E. 2.3</w:t>
      </w:r>
    </w:p>
    <w:p>
      <w:r>
        <w:t>La cour cantonale a considéré que les recourants formulaient essentiellement des remarques générales, sans indiquer dans leur acte de recours les éléments du dossier qui feraient état avec précision des établissements financiers mentionnés dans leurs conclusions; le "Rapport Forensic", établi par II.________ en septembre 2017 sur la base du matériel informatique séquestré, consistait en un simple tableau récapitulatif des établissements bancaires qui seraient apparus à de nombreuses reprises sur ces fichiers informatiques, tableau complété par des captures d'écran. Selon la juridiction précédente, il était douteux que ces documents "privés" suffisent à établir des activités concrètes du prévenu et de sa société sur des comptes auprès des établissements indiqués; il semblait plutôt s'agir du résultat d'une analyse à l'aveugle portant sur d'innombrables fichiers dont la nature était ignorée. Selon les juges cantonaux, il convenait d'être d'autant plus strict que les mesures requises risquaient de paralyser l'instruction compte tenu de leur ampleur et de l'emplacement à l'étranger de certains établissements concernés. Ils ont enfin estimé qu'au regard du mandat d'expertise du 18 août 2017, il s'avérait plus expédient d'interpeller les experts sur la nature des documents nécessaires à leur mission, démarche qui pourrait être entreprise sitôt que ceux-ci auront pu prendre connaissance du dossier.</w:t>
      </w:r>
    </w:p>
    <w:p>
      <w:r>
        <w:rPr>
          <w:b/>
        </w:rPr>
        <w:t>E. 2.4</w:t>
      </w:r>
    </w:p>
    <w:p>
      <w:r>
        <w:t>Ce raisonnement ne prête pas le flanc à la critique et les recourants n'apportent aucun élément permettant de le remettre en cause. En particulier, les recourants n'expliquent toujours pas quelle serait la nature des documents où apparaissent les noms des établissements cités dans leurs conclusions, respectivement les liens qui pourraient en découler pour considérer que les banques requises détiendraient vraisemblablement des pièces pertinentes pour l'enquête en cours. On ne saurait déduire un tel rapport de leur seule mention dans les pièces séquestrées, même si celle-ci apparaît un grand nombre de fois. Ce chiffre peut au demeurant être relativisé puisque, selon le "Rapport Forensic", certains fichiers identiques figurent plusieurs fois dans les disques saisis (cf. p. 3 de cette écriture) et un même nom apparaît à différentes reprises dans un même document (cf. les captures d'écran annexées, p. 4 ss du rapport). A cela s'ajoute encore que les intimés soutiennent que certains documents ne seraient que de la publicité.</w:t>
      </w:r>
    </w:p>
    <w:p>
      <w:r>
        <w:t>Quant au risque de destruction des documents requis vu le délai d'archivage de dix ans à compter de la fin de l'exercice (cf. art. 958f al. 1 CO ), il permet certes l'entrée en matière (cf. art. 394 al. 1 let. b CPP ; cf. consid. 1.1.2 de l'arrêt attaqué), respectivement le recours immédiat au Tribunal fédéral (cf. art. 93 al. 1 let. a LTF ; cf. consid. 1.2 ci-dessus). Sauf à violer les principes de proportionnalité et d'économie de procédure, ce motif ne suffit en revanche pas pour établir la pertinence desdites pièces, respectivement pour justifier l'ampleur de la saisie demandée, tant quant au nombre d'établissements requis - dont certains sont situés à l'étranger - que par rapport au volume de pièces demandées. En tout état de cause et malgré l'ordonnance présidentielle du 7 décembre 2017, il ne peut être exclu que les banques situées en Suisse - seules au demeurant soumises au délai de l' art. 958f al. 1 CO - aient déjà procédé, au 1er janvier 2017, à la destruction de leurs archives pour les périodes antérieures - dans l'hypothèse la plus favorable aux recourants - au 31 décembre 2006.</w:t>
      </w:r>
    </w:p>
    <w:p>
      <w:r>
        <w:t>On relèvera enfin que de nombreux ordres de production de pièces ont été adressés à différents établissements bancaires au cours de la procédure : L1.________ &amp; Cie à Genève le 27 mars 2014; N1.________ à Zurich le 20 mai 2014; Banque R.________ SA à Genève le 13 janvier 2015; Bank T.________ AG à Bâle le 13 janvier 2015, le 16 novembre 2015 et le 26 juillet 2016; Banque K.________ SA le 22 janvier 2015; Banque O.________ à Genève le 22 janvier 2015; Banque Q.________ à Zurich le 4 février 2015; Banque G.________ SA et/ou R.________ AG, siège de Zurich à Genève le 16 novembre 2015; S.________ SA le 12 juillet 2017; KK.________ à Lausanne le 12 juillet 2017 et 19 juillet 2017 ( art. 105 al. 2 LTF ). Or, les recourants ne prétendent pas que ces mesures auraient été insuffisantes ou le seraient devenues, en particulier en se référant à de nouveaux éléments figurant au dossier. Ils n'expliquent pas non plus en quoi leur présente requête serait différente, notamment par rapport à celles des entités a priori déjà requises, respectivement pour celles nouvellement mentionnées. Ils ne soutiennent enfin pas que les nombreuses pièces figurant au dossier ne permettraient pas aux experts d'établir leur rapport, respectivement de définir si des éléments complémentaires devraient être encore demandés que ce soit auprès des entités susmentionnées ou d'autres établissements. C'est le lieu de préciser qu'il n'appartient pas au Tribunal fédéral, dans le cadre de la présente procédure, d'examiner une éventuelle violation du principe de célérité en lien avec l'expertise ordonnée; tel ne paraît au demeurant pas d'emblée avoir été le cas au jour de l'arrêt cantonal attaqué.</w:t>
      </w:r>
    </w:p>
    <w:p>
      <w:r>
        <w:t>Un motif de saisie ne saurait en tout cas pas résulter de l'éventuelle instruction ultérieure des plaintes des plaignants B.________. En effet, le possible report semble avant tout résulter du défaut d'information fournie de la part de ceux-ci, par le biais du recourant B.B.________, quant aux faits qu'ils reprochent à l'intimé D.________. Il n'est au demeurant pas soutenu que les infractions commises seraient fondamentalement différentes ou concerneraient une autre période que celle examinée par rapport à la recourante Fondation A.________.</w:t>
      </w:r>
    </w:p>
    <w:p>
      <w:r>
        <w:t>Au regard de ces considérations, en particulier des pièces figurant déjà au dossier et de l'expertise en cours, la cour cantonale pouvait, sans violer le droit fédéral ou procéder de manière arbitraire, confirmer le rejet de la mesure demandée par les recourants.</w:t>
      </w:r>
    </w:p>
    <w:p>
      <w:r>
        <w:rPr>
          <w:b/>
        </w:rPr>
        <w:t>E. 3</w:t>
      </w:r>
    </w:p>
    <w:p>
      <w:r>
        <w:t>Il s'ensuit que le recours est rejeté dans la mesure où il est recevable.</w:t>
      </w:r>
    </w:p>
    <w:p>
      <w:r>
        <w:t>Les recourants, qui succombent, supportent solidairement les frais judiciaires ( art. 66 al. 1 LTF ). Les intimés - qui procèdent avec l'assistance d'un avocat commun - ont droit à des dépens à la charge des intimés, solidairement entre eux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