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1B_491/2021 vom 5. November 2021</w:t>
      </w:r>
    </w:p>
    <w:p>
      <w:r>
        <w:t>Bundesgericht, 2021-11-05, FR</w:t>
      </w:r>
    </w:p>
    <w:p>
      <w:r>
        <w:rPr>
          <w:b/>
        </w:rPr>
        <w:t xml:space="preserve">Quelle: </w:t>
      </w:r>
      <w:r>
        <w:t>https://mcp.opencaselaw.ch/entscheid/bger_1B_491_2021</w:t>
      </w:r>
    </w:p>
    <w:p>
      <w:r>
        <w:t>FR: TF 1B_491/2021 du 5 novembre 2021</w:t>
      </w:r>
    </w:p>
    <w:p>
      <w:r>
        <w:t>IT: TF 1B_491/2021 del 5 novembre 2021</w:t>
      </w:r>
    </w:p>
    <w:p>
      <w:pPr>
        <w:pStyle w:val="Heading2"/>
      </w:pPr>
      <w:r>
        <w:t>Erwägungen</w:t>
      </w:r>
    </w:p>
    <w:p>
      <w:r>
        <w:rPr>
          <w:b/>
        </w:rPr>
        <w:t>E. 1</w:t>
      </w:r>
    </w:p>
    <w:p>
      <w:r>
        <w:t>L'arrêt attaqué a été rendu par une autorité statuant en tant que dernière instance cantonale ( art. 80 LTF ) dans le cadre d'une procédure pénale. Le recours en matière pénale est en principe ouvert ( art. 78 ss LTF ).</w:t>
      </w:r>
    </w:p>
    <w:p>
      <w:r>
        <w:rPr>
          <w:b/>
        </w:rPr>
        <w:t>E. 1.1</w:t>
      </w:r>
    </w:p>
    <w:p>
      <w:r>
        <w:t>Cet arrêt - qui rejette, dans la mesure de sa recevabilité, le recours déposé par la plaignante - ne met pas fin à la procédure pénale en cours et revêt un caractère incident. Il ne porte ni sur la compétence, ni sur une demande de récusation au sens de l' art. 92 LTF et ne peut donc en principe faire l'objet d'un recours en matière pénale qu'aux conditions de l' art. 93 al. 1 let. a LTF , l'hypothèse prévue à l' art. 93 al. 1 let. b LTF n'entrant pas en considération dans le cas d'espèce. En matière pénale, le préjudice irréparable au sens de la disposition susmentionnée se rapporte à un dommage de nature juridique qui ne puisse pas être réparé ultérieurement par un jugement final ou une autre décision favorable au recourant ( ATF 144 IV 127 consid. 1.3.1). Il incombe au recourant de démontrer l'existence d'un tel préjudice lorsque celui-ci n'est pas d'emblée évident ( ATF 141 IV 284 consid. 2.3).</w:t>
      </w:r>
    </w:p>
    <w:p>
      <w:r>
        <w:rPr>
          <w:b/>
        </w:rPr>
        <w:t>E. 1.2</w:t>
      </w:r>
    </w:p>
    <w:p>
      <w:r>
        <w:t>Comme le relève la recourante, le Tribunal fédéral renonce à l'exigence d'un préjudice irréparable lorsqu'est allégué un retard injustifié, constitutif d'un déni de justice formel ( ATF 138 IV 258 consid. 1.1). Tel est le cas en l'espèce, de sorte qu'il convient d'entrer en matière.</w:t>
      </w:r>
    </w:p>
    <w:p>
      <w:r>
        <w:rPr>
          <w:b/>
        </w:rPr>
        <w:t>E. 2</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Par ailleurs, aucun fait nouveau ni preuve nouvelle ne peut être présenté, à moins de résulter de la décision de l'autorité précédente ( art. 99 al. 1 LTF ).</w:t>
      </w:r>
    </w:p>
    <w:p>
      <w:r>
        <w:t>Dans une rubrique intitulée "résumé des faits", la recourante présente son propre exposé des faits censé compléter celui de l'arrêt entrepris "par des informations supplémentaires qui sont importantes pour l'évaluation du présent cas". Une telle argumentation, dans la mesure où elle s'écarte des faits établis dans l'arrêt attaqué ou les complète, sans qu'il soit indiqué que ceux-ci seraient manifestement inexacts ou arbitraires, est irrecevable.</w:t>
      </w:r>
    </w:p>
    <w:p>
      <w:r>
        <w:rPr>
          <w:b/>
        </w:rPr>
        <w:t>E. 3.1</w:t>
      </w:r>
    </w:p>
    <w:p>
      <w:r>
        <w:t>Invoquant un déni de justice, la recourante fait grief au Ministère public d'avoir tardé à lui accorder l'accès au dossier MP.2020.5564. Dans son arrêt, l'instance précédente a constaté que le Ministère public avait statué positivement sur la demande d'accès au dossier puisque celui-ci avait été scanné et transmis sous forme électronique aux mandataires des parties, dont celui de la recourante, le 2 juin 2021, puis le 10 juin 2021 apparemment en raison d'un problème technique avec la première transmission, ce que la recourante ne remet pas en cause dans son mémoire de recours. L'instance précédente pouvait dès lors à juste titre considérer que le recours cantonal déposé le 28 mai 2021 était devenu sans objet sur ce point (cf. arrêts 2C_6/2020 du 22 janvier 2020 consid. 2.2; 2C_1014/2013 du 22 août 2014 consid. 7.1 in fine; 8C_698/2012 du 12 décembre 2012 consid. 1). La critique de la recourante doit donc être rejetée.</w:t>
      </w:r>
    </w:p>
    <w:p>
      <w:r>
        <w:rPr>
          <w:b/>
        </w:rPr>
        <w:t>E. 3.2</w:t>
      </w:r>
    </w:p>
    <w:p>
      <w:r>
        <w:t>La recourante se plaint ensuite du fait que l'accès au dossier MP.2020.5975 ne lui aurait toujours pas été accordé. Sur ce point, l'instance précédente a constaté que le recours cantonal du 28 mai 2021 ne portait pas sur la consultation du dossier de la procédure MP.2020.5975. La recourante ne cherche pas à démontrer, dans son mémoire de recours, que ce constat serait manifestement inexact ou arbitraire, les conclusions de son recours cantonal se référant d'ailleurs uniquement au dossier MP.2020.5564. La recourante ne saurait dès lors invoquer, pour la première fois dans son recours auprès du Tribunal fédéral, un déni de justice en lien avec la consultation du dossier MP.2020.5975 ou un retard à statuer dans cette procédure. Les critiques y relatives sont irrecevables (cf. ATF 142 I 155 consid. 4.4.3; 134 III 643 consid. 5.3.2).</w:t>
      </w:r>
    </w:p>
    <w:p>
      <w:r>
        <w:rPr>
          <w:b/>
        </w:rPr>
        <w:t>E. 3.3</w:t>
      </w:r>
    </w:p>
    <w:p>
      <w:r>
        <w:t>La recourante critique également le fait que le dossier MP.2020.5564 serait incomplet. Elle se réfère à cet égard à son courrier du 19 août 2021, postérieur à l'arrêt entrepris rendu le 9 juillet 2021. Ce grief apparaît lui aussi nouveau puisqu'il n'a pas été soulevé devant l'instance précédente et repose en outre sur des faits qui ne ressortent pas de l'arrêt entrepris. Il est donc irrecevable (cf. ATF 142 I 155 consid. 4.4.3; 134 III 643 consid. 5.3.2).</w:t>
      </w:r>
    </w:p>
    <w:p>
      <w:r>
        <w:rPr>
          <w:b/>
        </w:rPr>
        <w:t>E. 3.4</w:t>
      </w:r>
    </w:p>
    <w:p>
      <w:r>
        <w:t>Enfin, invoquant un retard injustifié, la recourante affirme que, contrairement à ce que prétend l'ARMP, elle est intervenue à plusieurs reprises auprès du Ministère public non seulement pour obtenir la libération des comptes bloqués, mais aussi pour obtenir des informations pertinentes sur l'avancement de l'enquête. Elle ajoute avoir également transmis des informations importantes au Ministère public afin que ce dernier puisse évaluer la nécessité de prendre les mesures nécessaires. Or, selon la recourante, toutes ces demandes et transmissions d'informations auraient été ignorées par le procureur. La recourante se réfère sur ce point à ses courriers des 16 avril et 19 août 2021. La critique de la recourante, en tant qu'elle se fonde sur son courrier du 19 août 2021 postérieur à l'arrêt entrepris, est irrecevable (cf. art. 99 al. 1 LTF ). Pour le reste, elle doit être écartée. La recourante paraît en effet perdre de vue que le Ministère public a, par écrit du 28 avril 2021, répondu à ses divers courriers (cf. ci-dessus consid. Af en fait, dernier paragraphe). La cour cantonale a de plus constaté - sans que cela ne soit remis en cause par la recourante - que les paiements qui devaient intervenir en faveur de cette dernière avaient été effectués. Comme relevé dans l'arrêt entrepris, la recourante n'expose pas clairement à quels actes concrets le Ministère public aurait encore dû procéder. Elle n'est pas plus claire dans son recours au Tribunal fédéral. En l'occurrence, l'instance précédente peut être suivie lorsqu'elle affirme que la plaignante n'aurait pas mis le procureur en demeure de statuer formellement sur les séquestres éventuels et en particulier sur le sort des lingots d'or qui auraient été saisis. Le courrier du 16 avril 2021 de la recourante ne permet pas d'aboutir à une autre conclusion.</w:t>
      </w:r>
    </w:p>
    <w:p>
      <w:r>
        <w:rPr>
          <w:b/>
        </w:rPr>
        <w:t>E. 4</w:t>
      </w:r>
    </w:p>
    <w:p>
      <w:r>
        <w:t>Les considérants qui précèdent conduisent au rejet du recours,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