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48/2021 vom 23. Juni 2021</w:t>
      </w:r>
    </w:p>
    <w:p>
      <w:r>
        <w:t>Bundesgericht, 2021-06-23, FR</w:t>
      </w:r>
    </w:p>
    <w:p>
      <w:r>
        <w:rPr>
          <w:b/>
        </w:rPr>
        <w:t xml:space="preserve">Quelle: </w:t>
      </w:r>
      <w:r>
        <w:t>https://mcp.opencaselaw.ch/entscheid/bger_1B_48_2021</w:t>
      </w:r>
    </w:p>
    <w:p>
      <w:r>
        <w:t>FR: TF 1B 48/2021 du 23 juin 2021</w:t>
      </w:r>
    </w:p>
    <w:p>
      <w:r>
        <w:t>IT: TF 1B 48/2021 del 23 giugno 2021</w:t>
      </w:r>
    </w:p>
    <w:p>
      <w:pPr>
        <w:pStyle w:val="Heading2"/>
      </w:pPr>
      <w:r>
        <w:t>Regeste</w:t>
      </w:r>
    </w:p>
    <w:p>
      <w:r>
        <w:t>Procédure pénale; levée de scellés | Procédure pénale</w:t>
      </w:r>
    </w:p>
    <w:p>
      <w:pPr>
        <w:pStyle w:val="Heading2"/>
      </w:pPr>
      <w:r>
        <w:t>Erwägungen</w:t>
      </w:r>
    </w:p>
    <w:p>
      <w:r>
        <w:rPr>
          <w:b/>
        </w:rPr>
        <w:t>E. 1</w:t>
      </w:r>
    </w:p>
    <w:p>
      <w:r>
        <w:t>Les recours dans les causes 1B_48/2021 et 1B_114/2021, qui soulèvent des griefs similaires (période pénale en cause, utilité potentielle des pièces et proportionnalité), sont formés par un même recourant. S'ils sont dirigés contre deux décisions différentes du Tmc, celles-ci traitent de la même instruction pénale, ainsi que de documents et données saisies lors des mêmes perquisitions, lesquels ont fait l'objet d'une même demande de levée des scellés. Partant, il y a lieu de joindre ces deux causes et, par économie de procédure, de les traiter dans un seul arrêt ( art. 24 PCF [RS 273], applicable par renvoi de l' art. 71 LTF ).</w:t>
      </w:r>
    </w:p>
    <w:p>
      <w:r>
        <w:rPr>
          <w:b/>
        </w:rPr>
        <w:t>E. 2</w:t>
      </w:r>
    </w:p>
    <w:p>
      <w:r>
        <w:t>A titre préalable, le recourant demandait un délai pour caviarder ses mémoires de recours si ceux-ci devaient être transmis à d'autre (s) partie (s) que le Tmc. Le recourant n'a cependant pas indiqué dans ses écritures quels seraient les éventuels éléments qui devraient être soustraits à la connaissance du Ministère public et ceux-ci n'étaient pas d'emblée évident. Partant, faute de toute motivation et dans la mesure où un tel procédé serait admissible, il n'y avait donc pas lieu de donner suite à ces conclusions. Quant aux secondes conclusions préalables, elles sont sans objet. Vu l'envoi le 3 mars 2021, respectivement le 26 mars 2021, des écritures du Tmc et du Ministère public au recourant et la date du présent arrêt, il apparaît que le recourant a renoncé dans les deux causes à son droit de répliquer. Celui-ci n'impose en effet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 ATF 142 III 48 consid. 4.1.1 p. 54; arrêt 1C_338/2020 du 19 janvier 2021 consid. 2.3 et les arrêts cités).</w:t>
      </w:r>
    </w:p>
    <w:p>
      <w:r>
        <w:rPr>
          <w:b/>
        </w:rPr>
        <w:t>E. 3.1</w:t>
      </w:r>
    </w:p>
    <w:p>
      <w:r>
        <w:t>Conformément à l' art. 393 al. 1 let . c CPP, le recours au sens du CPP n'est ouvert contre les décisions du Tribunal des mesures de contrainte que dans les cas prévus par ledit code. Aux termes de l' art. 248 al. 3 let. a CPP , cette autorité statue définitivement sur la demande de levée des scellés au stade de la procédure préliminaire. Le recours en matière pénale au sens des art. 78 ss LTF est donc en principe ouvert (art. 80 al. 2 in fine LTF; ATF 143 IV 462 consid. 1).</w:t>
      </w:r>
    </w:p>
    <w:p>
      <w:r>
        <w:rPr>
          <w:b/>
        </w:rPr>
        <w:t>E. 3.2</w:t>
      </w:r>
    </w:p>
    <w:p>
      <w:r>
        <w:t>Ne mettant pas un terme à la procédure pénale dirigée contre le recourant, les décisions attaquées sont de nature incidente. Dans une telle configuration, le recours en matière pénale n'est recevable contre les ordonnances de levée de scellés que si elles sont susceptibles de causer un préjudice irréparable à leur destinataire en portant atteinte à un secret protégé par la loi ( art. 93 al. 1 let. a LTF en relation avec l' art. 248 al. 1 CPP ; ATF 143 IV 462 consid. 1; arrêt 1B_458/2020 du 27 janvier 2021 consid. 3.1), soit par exemple lorsqu'est invoqué le secret professionnel de l'avocat ( ATF 143 IV 462 consid. 1; arrêts 1B_525/2020 du 20 janvier 2021 consid. 1; 1B_539/2019 du 19 mars 2020 consid. 1) et/ou un secret commercial ou d'affaires au sens de l' art. 162 CP (arrêts 1B_108/2020 du 25 novembre 2020 consid. 3.2; 1B_258/2016 du 29 septembre 2016 consid. 1.2; 1B_300/2012 du 14 mars 2013 consid. 1.1). Pour démontrer l'existence d'un tel préjudice, il ne suffit pas non plus de prétendre que le document ou l'objet saisi contiendrait des données qui entreraient dans le champ de protection de la sphère privée selon l' art. 13 al. 1 Cst. (arrêts 1B_115/2020 du 5 mars 2020 consid. 2; 1B_153/2019 du 11 décembre 2019 consid. 1.6). Il appartient au recourant d'exposer les faits déterminants et de rendre vraisemblable l'atteinte portée au secret invoqué, en désignant les pièces ou les objets qui sont, de son point de vue, couverts par le secret ou le motif invoqué ( ATF 142 IV 207 consid. 11; 141 IV 77 consid. 5.5.3; 138 IV 225 consid. 7.1; arrêts 1B_458/2020 du 27 janvier 2021 consid. 3.1 et les arrêts cités). Du reste, il incombe, d'une manière générale, au recourant d'alléguer les faits qu'il considère comme propres à fonder sa qualité pour recourir et ceux permettant de démontrer l'existence d'un préjudice irréparable lorsque celui-ci n'est pas d'emblée évident ( cf. art. 42 al. 2 LTF ; ATF 141 IV 284 consid. 2.3). En l'occurrence et de manière contraire à ses obligations, le recourant ne développe aucune motivation sur cette problématique de recevabilité (cf. ad VI p. 5 s. de ses recours [1B_48/2021 et 1B_114/2021]). Dans son argumentation au fond, il ne se prévaut pas non plus d'un secret protégé par la loi pour obtenir le maintien des scellés; en particulier, il ne soutient pas que le Tmc aurait omis de maintenir cette mesure sur des pièces protégées par le secret professionnel de l'avocat. Il n'est dès lors pas d'emblée évident de savoir quel serait le préjudice encouru si le Ministère public pouvait consulter les pièces litigieuses; le recourant ne prétend en particulier pas qu'un tel dommage résulterait de la consultation des éventuels 51 fichiers vidéos supplémentaires contenus dans le fichier qui sera remis à cette autorité. A défaut pour le recourant de justifier l'existence de secrets protégés par la loi pour obtenir le maintien des scellés, il n'est pas suffisant, pour se prévaloir d'un dommage irréparable, de prétendre que certains documents seraient inutiles à l'enquête pénale, notamment en raison de leur date (arrêt 1B_108/2020 du 25 novembre 2020 consid. 3.4.5). Cette conclusion s'impose d'autant plus que, si le recourant devait estimer qu'une restriction de l'accès au dossier par d'autres personnes que les membres des autorités pénales, en particulier par des parties plaignantes, est nécessaire pour protéger des intérêts publics ou privés au maintien de secrets - ce qu'il semble soutenir mais sans aucune justification (cf. ad VII/iii/B p. 9 du recours [1B_48/2021]) -, il lui est loisible de former une requête en ce sens auprès du Ministère public (cf. art. 102 et 108 CPP ; arrêt 1B_108/2020 du 25 novembre 2020 consid. 3.4.5). Le recourant n'étaye pas non plus ses allégations d'atteinte à la sphère privée. Il se limite en effet à donner les numéros des images alléguées protégées par ce motif sans aucune indication (cf. ad VII/iii p. 8 du recours [1B_114/2021]); il ne prétend d'ailleurs pas que des arguments précis en lien avec d'éventuelles photos/vidéos de famille auraient été soulevés devant le Tmc, lequel les aurait à tort ignorés. Faute de préjudice irréparable allégué, les recours dans les causes 1B_48/2021 et 1B_114/2021 sont irrecevables.</w:t>
      </w:r>
    </w:p>
    <w:p>
      <w:r>
        <w:rPr>
          <w:b/>
        </w:rPr>
        <w:t>E. 3.3</w:t>
      </w:r>
    </w:p>
    <w:p>
      <w:r>
        <w:t>En tout état de cause, une instruction en lien avec des infractions de nature patrimoniale ne se limite pas à l'obtention de pièces bancaires relatives à la période pénale retenue, soit du printemps 2018 à décembre 2018. Elle peut ainsi nécessiter, sans violation du principe de proportionnalité, d'examiner d'autres éléments et/ou des données tant antérieurs que postérieurs, en particulier afin de remonter/suivre les éventuels flux financiers litigieux, de déterminer les situations financières préalables ainsi qu'ultérieures des différents intervenants (notamment des prévenus), de comprendre leurs motivations eu égard aux virements/agissements effectués et/ou d'examiner leurs relations notamment avec la partie plaignante. Ce dernier motif permet d'ailleurs également de confirmer que la période pénale retenue en l'état peut, sans arbitraire, ne pas débuter lors du premier échange entre le recourant et la partie plaignante (cf. leur courrier du 4 juin 2018 [ad VII/i p. 6 du recours (1B_48/2021-1B_114/2021)]), mais inclure les mois précédents, notamment afin d'examiner les motifs ayant amené leur rencontre. A cet égard, dans la mesure où l'origine des contacts entre le recourant et la partie plaignante pourrait être son incapacité à s'acquitter du solde dû à la société E.________ SA, l'examen des circonstances entourant cette relation - certes peut-être en l'état sans caractère pénal - n'apparaît ni arbitraire, ni dénué de pertinence pour la présente cause.</w:t>
      </w:r>
    </w:p>
    <w:p>
      <w:r>
        <w:rPr>
          <w:b/>
        </w:rPr>
        <w:t>E. 3.4</w:t>
      </w:r>
    </w:p>
    <w:p>
      <w:r>
        <w:t>Le recourant, qui succombe, supporte les frais judiciaires pour les deux procédures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