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1B_48/2020 vom 13. Februar 2020</w:t>
      </w:r>
    </w:p>
    <w:p>
      <w:r>
        <w:t>Bundesgericht, 2020-02-13, FR</w:t>
      </w:r>
    </w:p>
    <w:p>
      <w:r>
        <w:rPr>
          <w:b/>
        </w:rPr>
        <w:t xml:space="preserve">Quelle: </w:t>
      </w:r>
      <w:r>
        <w:t>https://mcp.opencaselaw.ch/entscheid/bger_1B_48_2020</w:t>
      </w:r>
    </w:p>
    <w:p>
      <w:r>
        <w:t>FR: TF 1B_48/2020 du 13 février 2020</w:t>
      </w:r>
    </w:p>
    <w:p>
      <w:r>
        <w:t>IT: TF 1B_48/2020 del 13 febbraio 2020</w:t>
      </w:r>
    </w:p>
    <w:p>
      <w:pPr>
        <w:pStyle w:val="Heading2"/>
      </w:pPr>
      <w:r>
        <w:t>Erwägungen</w:t>
      </w:r>
    </w:p>
    <w:p>
      <w:r>
        <w:rPr>
          <w:b/>
        </w:rPr>
        <w:t>E. 1.1</w:t>
      </w:r>
    </w:p>
    <w:p>
      <w:r>
        <w:t>Le recours en matière pénale ( art. 78 al. 1 LTF ) est ouvert contre une décision relative à la détention provisoire. Le recourant, prévenu actuellement détenu, dispose d'un intérêt juridique à la modification ou à l'annulation de la décision attaquée qui confirme la prolongation de sa détention provisoire (art. 81 al. 1 let. a et b ch. 1 LTF). Au surplus, le recours a été formé en temps utile (art. 45 al. 1 et 100 al. 1 LTF) contre une décision rendue par une autorité statuant en tant que dernière instance cantonale ( art. 80 LTF ) et les conclusions présentées sont recevables au regard de l' art. 107 al. 2 LTF . Il y a donc lieu d'entrer en matière.</w:t>
      </w:r>
    </w:p>
    <w:p>
      <w:r>
        <w:rPr>
          <w:b/>
        </w:rPr>
        <w:t>E. 1.2</w:t>
      </w:r>
    </w:p>
    <w:p>
      <w:r>
        <w:t>Les attestations produites le 7 février 2020 sont datées des 6 et 7 février 2020. Étant ultérieures à l'arrêt attaqué, elles sont irrecevables ( art. 99 al. 1 LTF ).</w:t>
      </w:r>
    </w:p>
    <w:p>
      <w:r>
        <w:rPr>
          <w:b/>
        </w:rPr>
        <w:t>E. 2</w:t>
      </w:r>
    </w:p>
    <w:p>
      <w:r>
        <w:t>Le recourant ne conteste pas l'existence de soupçons suffisants de la commission d'infractions, celle d'un danger de réitération et la durée de la détention provisoire subie eu égard à la peine encourue.</w:t>
      </w:r>
    </w:p>
    <w:p>
      <w:r>
        <w:t>Il reproche en revanche à l'autorité précédente d'avoir considéré qu'il n'existerait aucune mesure de substitution propre à pallier le danger de récidive existant. A cet égard, il se prévaut notamment d'une violation de son droit d'être entendu et fait grief à la cour cantonale de n'avoir pas motivé cette question.</w:t>
      </w:r>
    </w:p>
    <w:p>
      <w:r>
        <w:rPr>
          <w:b/>
        </w:rPr>
        <w:t>E. 2.1</w:t>
      </w:r>
    </w:p>
    <w:p>
      <w:r>
        <w:t>Le droit d'être entendu garanti à l' art. 29 al. 2 Cst. (cf. art. 3 al. 2 let . c, 101 et 107 CPP)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145 IV 99 consid. 3.1 p. 109; 143 III 65 consid. 5.2 p. 70 s.; 141 IV 244 consid. 1.2.1 p. 246).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p. 565).</w:t>
      </w:r>
    </w:p>
    <w:p>
      <w:r>
        <w:rPr>
          <w:b/>
        </w:rPr>
        <w:t>E. 2.2</w:t>
      </w:r>
    </w:p>
    <w:p>
      <w:r>
        <w:t>A teneur de l' art. 197 al. 1 CPP , les mesures de contrainte ne peuvent en particulier être ordonnées que si les buts poursuivis ne peuvent pas être atteints par des mesures moins sévères (let. c) et si elles apparaissent justifiées au regard de la gravité de l'infraction (let. d). Le principe de proportionnalité implique donc que la détention provisoire doit être en adéquation avec la gravité de l'infraction commise et la sanction prévisible ( ATF 142 IV 389 consid. 4.1 p. 395). La détention avant jugement ne doit en outre pas durer plus longtemps que la peine privative de liberté prévisible ( art. 212 al. 3 CPP ).</w:t>
      </w:r>
    </w:p>
    <w:p>
      <w:r>
        <w:t>Le principe de proportionnalité impose également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w:t>
      </w:r>
    </w:p>
    <w:p>
      <w:r>
        <w:t>Cette liste est exemplative et le juge de la détention peut également, le cas échéant, assortir les mesures de substitution de toute condition propre à en garantir l'efficacité ( ATF 142 IV 367 consid. 2.1 p. 370). S'agissant en particulier du port d'un bracelet électronique, cette mesure ne permet généralement qu'un contrôle rétroactif, n'ayant ainsi qu'un effet préventif (arrêts 1B_362/2019 du 17 septembre 2019 consid. 3.3.1 destiné à la publication; 1B_344/2017 du 20 septembre 2017 consid. 5.2 [risque de fuite]). Dans le contexte d'une assignation à résidence, ce type de surveillance permet notamment de s'assurer que la personne sous surveillance est bien à l'emplacement prescrit aux heures prévues (arrêt 1B_142/2018 du 5 avril 2018 consid. 2.1 [danger de réitération]). En tout état de cause, son adéquation doit être évaluée en fonction de toutes les circonstances d'espèce, en particulier l'intensité du risque en cause, la gravité des infractions examinées, la nécessité de garantir la présence des parties dans la procédure et la durée de la détention provisoire et pour des motifs de sûreté (arrêts 1B_362/2019 du 17 septembre 2019 consid. 3.3.2 destiné à la publication).</w:t>
      </w:r>
    </w:p>
    <w:p>
      <w:r>
        <w:t>Dans l'éventualité d'une violation des obligations imposées, la révocation des mesures de substitution et un nouveau placement du prévenu en détention peuvent entrer en considération (cf. art. 237 al. 5 CPP ; arrêt 1B_470/2019 du 16 octobre 2019 consid. 3.2).</w:t>
      </w:r>
    </w:p>
    <w:p>
      <w:r>
        <w:rPr>
          <w:b/>
        </w:rPr>
        <w:t>E. 2.3</w:t>
      </w:r>
    </w:p>
    <w:p>
      <w:r>
        <w:t>La cour cantonale a considéré qu'aucune mesure de substitution n'était propre à remédier concrètement le risque de réitération existant, précisant que celles proposées par le recourant, dont en particulier celle consistant à lui interdire de prendre contact avec certaines personnes, visaient à contenir le danger de collusion.</w:t>
      </w:r>
    </w:p>
    <w:p>
      <w:r>
        <w:rPr>
          <w:b/>
        </w:rPr>
        <w:t>E. 2.4</w:t>
      </w:r>
    </w:p>
    <w:p>
      <w:r>
        <w:t>Ce raisonnement ne saurait être suivi. En effet, il ne peut être reproché au recourant d'avoir proposé des mesures visant avant tout à pallier un danger de collusion, dès lors que c'est ce danger qui avait été retenu par le Tmc; ce risque n'a été écarté - eu égard au défaut de jonction des différentes causes concernant pourtant un même prévenu ( art. 29 CPP ) - que par l'autorité précédente.</w:t>
      </w:r>
    </w:p>
    <w:p>
      <w:r>
        <w:t>En outre, les mesures proposées par le recourant (assignation à domicile avec bracelet électronique, interdiction de contacts avec les co-prévenus, les témoins et personnes appelées à donner des renseignements, contrôle des communications ou interdiction de périmètre [cf. ad D p. 8 et la conclusion IV p. 9 du mémoire cantonal]) peuvent aussi entrer en considération pour réduire un danger de réitération puisqu'elles visent en substance à contrôler l'activité du recourant. Elles peuvent ainsi tendre à assurer sa présence à certains endroits et/ou à certaines heures (assignation à résidence et/ou restriction de périmètre), ainsi qu'à l'empêcher de préparer de nouvelles infractions en restreignant ses communications (interdiction de contacts avec notamment ses anciens comparses). On relève de plus que le recourant a indiqué, dans son mémoire cantonal, la possibilité d'être à nouveau engagé par l'entreprise familiale, qui lui offrait "un cadre propice à le détourner de toute potentielle activité délictuelle"; l'hypothèse d'une activité professionnelle n'est de loin pas non plus dénuée de toute pertinence pour réduire le risque de la commission de nouvelle infraction, problématique sur laquelle la juridiction précédente ne s'est pourtant pas prononcée.</w:t>
      </w:r>
    </w:p>
    <w:p>
      <w:r>
        <w:t>Il s'ensuit que la violation du droit d'être entendu est admise. La cause doit donc être renvoyée à l'autorité précédente pour qu'elle examine s'il existe, au vu des circonstances d'espèce (gravité et fréquence des infractions en cause, antécédent (s), durée de la détention provisoire subie, situation personnelle du recourant, éventuelle activité professionnelle, etc.) et en tenant compte de l'ensemble des procédures (cf. art. 29 al. 1 CPP ), des mesures de substitution propres à réduire suffisamment le danger de récidive existant, puis rende une nouvelle décision motivée sur cette question.</w:t>
      </w:r>
    </w:p>
    <w:p>
      <w:r>
        <w:t>Pour éviter, toute critique relative à la violation du principe de célérité prévalant tout particulièrement en matière de détention ( art. 5 al. 2 CPP ), l'instance précédente devra statuer à brefs délais.</w:t>
      </w:r>
    </w:p>
    <w:p>
      <w:r>
        <w:rPr>
          <w:b/>
        </w:rPr>
        <w:t>E. 3</w:t>
      </w:r>
    </w:p>
    <w:p>
      <w:r>
        <w:t>Le recours est admis dans la mesure où il est recevable. L'arrêt attaqué est annulé dans la mesure où il exclut sans motivation le prononcé de mesures de substitution. La cause est renvoyée à l'autorité précédente pour qu'elle procède au sens des considérants et qu'elle rende une nouvelle décision.</w:t>
      </w:r>
    </w:p>
    <w:p>
      <w:r>
        <w:t>Le recourant, qui obtient gain de cause avec un avocat, a droit à des dépens pour la procédure fédérale à la charge du canton de Vaud ( art. 68 al. 1 LTF ). Il n'est pas perçu de frais judiciaires ( art. 66 al. 4 LTF ). La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