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1B_488/2019 vom 3. Oktober 2019</w:t>
      </w:r>
    </w:p>
    <w:p>
      <w:r>
        <w:t>Bundesgericht, 2019-10-03, DE</w:t>
      </w:r>
    </w:p>
    <w:p>
      <w:r>
        <w:rPr>
          <w:b/>
        </w:rPr>
        <w:t xml:space="preserve">Quelle: </w:t>
      </w:r>
      <w:r>
        <w:t>https://mcp.opencaselaw.ch/entscheid/bger_1B_488_2019</w:t>
      </w:r>
    </w:p>
    <w:p>
      <w:r>
        <w:t>FR: TF 1B_488/2019 du 3 octobre 2019</w:t>
      </w:r>
    </w:p>
    <w:p>
      <w:r>
        <w:t>IT: TF 1B_488/2019 del 3 ottobre 2019</w:t>
      </w:r>
    </w:p>
    <w:p>
      <w:pPr>
        <w:pStyle w:val="Heading2"/>
      </w:pPr>
      <w:r>
        <w:t>Erwägungen</w:t>
      </w:r>
    </w:p>
    <w:p>
      <w:r>
        <w:rPr>
          <w:b/>
        </w:rPr>
        <w:t>E. 1</w:t>
      </w:r>
    </w:p>
    <w:p>
      <w:r>
        <w:t>A.________ erhob gegen die Verfügung der Regionalen Staatsanwaltschaft Bern-Mittelland vom 23. September 2019 Beschwerde. Die Verfahrensleitung der Beschwerdekammer in Strafsachen des Obergerichts des Kantons Bern forderte sie mit Verfügung vom 1. Oktober 2019 auf, innert 10 Tagen eine Sicherheit im Sinne von Art. 383 Abs. 1 StPO von Fr. 600.-- zu leisten, ansonsten auf das Rechtsmittel nicht eingetreten werde.</w:t>
      </w:r>
    </w:p>
    <w:p>
      <w:r>
        <w:rPr>
          <w:b/>
        </w:rPr>
        <w:t>E. 2</w:t>
      </w:r>
    </w:p>
    <w:p>
      <w:r>
        <w:t>Gegen die Verfügung der Beschwerdekammer in Strafsachen des Obergerichts des Kantons Bern wandte sich A.________ mit Eingabe vom 2. Oktober 2019 ans Bundesgericht, welches auf die Einholung von Vernehmlassungen verzichtete.</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vermag mit ihren kaum verständlichen Ausführungen nicht aufzuzeigen, inwiefern die von der Beschwerdekammer in Strafsachen geforderte Sicherheitsleistung im Sinne von Art. 383 StPO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