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487/2019 vom 11. November 2019</w:t>
      </w:r>
    </w:p>
    <w:p>
      <w:r>
        <w:t>Bundesgericht, 2019-11-11, FR</w:t>
      </w:r>
    </w:p>
    <w:p>
      <w:r>
        <w:rPr>
          <w:b/>
        </w:rPr>
        <w:t xml:space="preserve">Quelle: </w:t>
      </w:r>
      <w:r>
        <w:t>https://mcp.opencaselaw.ch/entscheid/bger_1B_487_2019</w:t>
      </w:r>
    </w:p>
    <w:p>
      <w:r>
        <w:t>FR: TF 1B 487/2019 du 11 novembre 2019</w:t>
      </w:r>
    </w:p>
    <w:p>
      <w:r>
        <w:t>IT: TF 1B 487/2019 del 11 novembre 2019</w:t>
      </w:r>
    </w:p>
    <w:p>
      <w:pPr>
        <w:pStyle w:val="Heading2"/>
      </w:pPr>
      <w:r>
        <w:t>Regeste</w:t>
      </w:r>
    </w:p>
    <w:p>
      <w:r>
        <w:t>procédure pénale; mesure de surveillance secrète | Procédure pénale</w:t>
      </w:r>
    </w:p>
    <w:p>
      <w:pPr>
        <w:pStyle w:val="Heading2"/>
      </w:pPr>
      <w:r>
        <w:t>Erwägungen</w:t>
      </w:r>
    </w:p>
    <w:p>
      <w:r>
        <w:rPr>
          <w:b/>
        </w:rPr>
        <w:t>E. 1</w:t>
      </w:r>
    </w:p>
    <w:p>
      <w:r>
        <w:t>L'arrêt attaqué, relatif à des mesures de surveillance téléphonique, a été rendu au cours d'une procédure pénale par une autorité statuant en dernière instance cantonale ( art. 80 LTF ); il est donc susceptible d'un recours en matière pénale au sens des art. 78 ss LTF . Le recourant, prévenu mis en cause par lesdites mesures, entend faire constater l'illicéité de celles-ci et ensuite obtenir la destruction des moyens de preuve en résultant. Il dispose ainsi d'un intérêt juridique à l'annulation ou à la modification de la décision entreprise et la qualité pour recourir doit lui être reconnue (art. 81 al. 1 let. a et b ch. 1 LTF; arrêt 1B_63/2016 du 8 juin 2016 consid. 1.3 non publié aux ATF 142 IV 289 ). Le recours instauré à l' art. 279 al. 3 CPP contre une mesure de surveillance secrète permet de contester la légalité de la mesure, et non sa valeur probante, l'examen de cette dernière question appartenant au juge du fond. Lorsque la communication des mesures de surveillance a été valablement notifiée ( art. 279 al. 1 CPP ), la licéité de cette surveillance ne peut toutefois plus être examinée par le juge du fond ( ATF 140 IV 40 consid. 1.1 p. 42; arrêt 6B_795/2014 du 6 janvier 2015 consid. 2.3.4). Le recourant peut donc se prévaloir d'un préjudice irréparable au sens de l' art. 93 al. 1 let. a LTF et contester sans délai la décision qui confirme le bien-fondé de la surveillance de son téléphone portable. Pour le surplus, les autres conditions de recevabilité sont réunies. Il y a donc lieu d'entrer en matière.</w:t>
      </w:r>
    </w:p>
    <w:p>
      <w:r>
        <w:rPr>
          <w:b/>
        </w:rPr>
        <w:t>E. 2</w:t>
      </w:r>
    </w:p>
    <w:p>
      <w:r>
        <w:t>Le recourant soutient d'abord que la mesure de surveillance litigieuse violerait l' art. 36 Cst. , en lien avec une violation des garanties fondamentales offertes par l'art. 16 de la Convention relative aux droits de l'enfant (CDE; RS 0.107) (protection de l'enfant contre toutes immixtions arbitraires ou illégales dans sa vie privée, sa famille, son domicile ou sa correspondance) et l' art. 11 al. 1 Cst. (protection des enfants et des jeunes), faute de base légale adéquate concernant un mineur.</w:t>
      </w:r>
    </w:p>
    <w:p>
      <w:r>
        <w:rPr>
          <w:b/>
        </w:rPr>
        <w:t>E. 2.1</w:t>
      </w:r>
    </w:p>
    <w:p>
      <w:r>
        <w:t>Dans le canton de Genève, l'autorité d'instruction dans les procédures dirigées contre une personne de moins de 18 ans est le juge des mineurs (art. 48 de la loi genevoise d'application du code pénal suisse et d'autres lois fédérales en matière pénale du 27 août 2009 [RSG E 4 10]). Il dirige la poursuite pénale et effectue tous les actes de procédure nécessaires à l'établissement de la vérité ( art. 30 al. 1 la loi fédérale du 20 mars 2009 sur la procédure pénale applicable aux mineurs [PPMin; RS 312.1]). Lors de l'instruction, il exerce les compétences et effectue les tâches que le CPP attribue au ministère public à ce stade de la procédure ( art. 30 al. 2 PPMin ). A teneur de l' art. 26 al. 1 let. a PPMin , le juge des mineurs est compétent pour ordonner les mesures de contrainte qui peuvent être ordonnées par le ministère public aux termes du CPP. Or les mesures de surveillance secrètes de la correspondance par poste et télécommunication au moyen d'équipements techniques de surveillance au sens des art. 269 et 280 ss du CPP sont de telles mesures de contrainte. Par ailleurs, l' art. 3 al. 1 PPMin prévoit que le CPP est applicable, sauf dispositions particulières de la présente loi. La mesure de surveillance litigieuse repose ainsi sur une base légale formelle. Les griefs de violation des art. 11 et 36 Cst. ainsi que 16 CDE doivent donc être rejetés, dans la mesure de leur recevabilité.</w:t>
      </w:r>
    </w:p>
    <w:p>
      <w:r>
        <w:rPr>
          <w:b/>
        </w:rPr>
        <w:t>E. 2.2</w:t>
      </w:r>
    </w:p>
    <w:p>
      <w:r>
        <w:t>Par ailleurs, l'instance précédente a retenu que la référence au Ministère public dans la décision du Tmc, comme autorité ayant demandé la mesure de surveillance, relevait manifestement d'une erreur de plume, qui était sans incidence dans la mesure où le recourant pouvait se rendre compte de cette méprise: en effet, tant les documents en question lui ayant été transmis par courrier du 30 juillet 2019 que les autres références à ladite demande, telles que la date de celle-ci, le numéro surveillé, le nom du détenteur du raccordement et la période pour laquelle la mesure a été demandée, étaient corrects; de plus, nulle confusion ne pouvait être faite avec une éventuelle implication du Ministère public car cette autorité n'était jamais intervenue à son encontre. Le recourant s'en prend à cette argumentation, en se contentant cependant d'affirmer que la référence au Ministère public ne relèverait pas d'une erreur de plume car elle apparaît 5 fois dans la décision du Tmc. Partant, il n'explique pas en quoi le raisonnement de la cour cantonale serait contraire au droit. Faute de satisfaire aux exigences de l'obligation de motiver ( art. 42 al. 2 LTF ; ATF 140 III 86 consid. 2 p. 91), cette critique est irrecevable.</w:t>
      </w:r>
    </w:p>
    <w:p>
      <w:r>
        <w:rPr>
          <w:b/>
        </w:rPr>
        <w:t>E. 3</w:t>
      </w:r>
    </w:p>
    <w:p>
      <w:r>
        <w:t>Le recourant fait enfin valoir sommairement que l'arrêt attaqué serait arbitraire ( art. 9 Cst. ) car la mesure de surveillance secrète porte particulièrement atteinte aux droits fondamentaux d'un mineur. Il affirme aussi que la cour cantonale ne tient aucun compte de l'intérêt supérieur de l'enfant et se réfère à l'art. 3 § 1 CDE selon lequel "l'intérêt supérieur de l'enfant doit être une considération primordiale". Il est douteux que ces griefs soient suffisamment motivés et recevables. Peu importe cependant puisqu'ils peuvent être d'emblée rejetés, compte tenu du fait que la mesure litigieuse est, en soi, peu intrusive, dans la mesure où il ne s'agit que de la récolte de données secondaires, alors que l'intérêt public à la poursuite pénale est important, s'agissant de soupçons relatifs à des infractions dont certaines sont graves.</w:t>
      </w:r>
    </w:p>
    <w:p>
      <w:r>
        <w:rPr>
          <w:b/>
        </w:rPr>
        <w:t>E. 4</w:t>
      </w:r>
    </w:p>
    <w:p>
      <w:r>
        <w:t>En tant qu'il est recevable, le recours est manifestement mal fondé. Cette issue, d'emblée évidente vu la faible motivation du recours, conduit au rejet de la demande d'assistance judiciaire ( art. 64 al. 1 LTF ). Il peut toutefois, à titre exceptionnel, être renoncé à la perception de frais judiciaires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