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1B_483/2019 vom 2. Oktober 2019</w:t>
      </w:r>
    </w:p>
    <w:p>
      <w:r>
        <w:t>Bundesgericht, 2019-10-02, DE</w:t>
      </w:r>
    </w:p>
    <w:p>
      <w:r>
        <w:rPr>
          <w:b/>
        </w:rPr>
        <w:t xml:space="preserve">Quelle: </w:t>
      </w:r>
      <w:r>
        <w:t>https://mcp.opencaselaw.ch/entscheid/bger_1B_483_2019</w:t>
      </w:r>
    </w:p>
    <w:p>
      <w:r>
        <w:t>FR: TF 1B_483/2019 du 2 octobre 2019</w:t>
      </w:r>
    </w:p>
    <w:p>
      <w:r>
        <w:t>IT: TF 1B_483/2019 del 2 ottobre 2019</w:t>
      </w:r>
    </w:p>
    <w:p>
      <w:pPr>
        <w:pStyle w:val="Heading2"/>
      </w:pPr>
      <w:r>
        <w:t>Erwägungen</w:t>
      </w:r>
    </w:p>
    <w:p>
      <w:r>
        <w:rPr>
          <w:b/>
        </w:rPr>
        <w:t>E. 1</w:t>
      </w:r>
    </w:p>
    <w:p>
      <w:r>
        <w:t>Die Staatsanwaltschaft Limmattal/Albis führt ein Strafverfahren gegen A.________ wegen Drohung etc. Ihm wird vorgeworfen, seine Ehefrau nach einer zunächst verbalen Auseinandersetzung an den Haaren gerissen, ihr den Laptop weggenommen und ihr gedroht zu haben. Anlässlich der polizeilichen Befragung vom 3. Juni 2019 und am 7. Juni 2019 gegenüber der Staatsanwaltschaft erklärte die Geschädigte ihr Desinteresse an der Weiterführung des Strafverfahrens, weshalb das Verfahren mit Verfügung vom 25. Juni 2019 einstweilen sistiert wurde.</w:t>
      </w:r>
    </w:p>
    <w:p>
      <w:r>
        <w:rPr>
          <w:b/>
        </w:rPr>
        <w:t>E. 2</w:t>
      </w:r>
    </w:p>
    <w:p>
      <w:r>
        <w:t>Am 5. Juni 2019 beantragte A.________ die Bestellung seines erbetenen Verteidigers als amtlichen Verteidiger. Die Oberstaatsanwaltschaft des Kantons Zürich wies das Gesuch mit Verfügung vom 25. Juni 2019 ab. Dagegen erhob A.________ am 8. Juli 2019 Beschwerde, welche die III. Strafkammer des Obergerichts des Kantons Zürich mit Beschluss vom 29. August 2019 abwies. Zur Begründung führte die III. Strafkammer zusammenfassend aus, dass kein Fall einer notwendigen Verteidigung vorliege. Aufgrund der Tatsache, dass ohne Widerruf der Desinteresseerklärung der Geschädigten das Strafverfahren nach sechs Monaten eingestellt werde ( Art. 55a Abs. 3 StGB ), erscheine zur Zeit eine Verteidigung nicht geboten. Ausserdem habe A.________ mit seiner Beschwerdeschrift aufgezeigt, dass er seine Rechte ohne Hilfe eines Anwalts ausüben könne. Sollte das Strafverfahren wieder aufgenommen werden, stehe es ihm frei, erneut um Anordnung einer amtlichen Verteidigung zu ersuchen.</w:t>
      </w:r>
    </w:p>
    <w:p>
      <w:r>
        <w:rPr>
          <w:b/>
        </w:rPr>
        <w:t>E. 3</w:t>
      </w:r>
    </w:p>
    <w:p>
      <w:r>
        <w:t>A.________ führt mit Eingabe vom 27. September 2019 (Postaufgabe 29. September 2019)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III. Strafkammer, die zur Abweisung seiner Beschwerde führte, nicht auseinander. Er vermag mit seinen nicht sachbezogenen Ausführung nicht ansatzweise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