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1B_483/2011 vom 6. Oktober 2011</w:t>
      </w:r>
    </w:p>
    <w:p>
      <w:r>
        <w:t>Bundesgericht, 2011-10-06, DE</w:t>
      </w:r>
    </w:p>
    <w:p>
      <w:r>
        <w:rPr>
          <w:b/>
        </w:rPr>
        <w:t xml:space="preserve">Quelle: </w:t>
      </w:r>
      <w:r>
        <w:t>https://mcp.opencaselaw.ch/entscheid/bger_1B_483_2011</w:t>
      </w:r>
    </w:p>
    <w:p>
      <w:r>
        <w:t>FR: TF 1B_483/2011 du 6 octobre 2011</w:t>
      </w:r>
    </w:p>
    <w:p>
      <w:r>
        <w:t>IT: TF 1B_483/2011 del 6 ottobre 2011</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BGG zulässig. Die Beschwerdeführerin ist nach Art. 81 Abs. 1 lit. b Ziff. 3 BGG zur Beschwerde befugt. Da auch die übrigen Sachurteilsvoraussetzungen erfüllt sind, ist auf die Beschwerde einzutreten.</w:t>
      </w:r>
    </w:p>
    <w:p>
      <w:r>
        <w:rPr>
          <w:b/>
        </w:rPr>
        <w:t>E. 2.1</w:t>
      </w:r>
    </w:p>
    <w:p>
      <w:r>
        <w:t>Die Beschwerdeführerin macht geltend, der Verfahrensleitung des erstinstanzlichen Gerichts stehe bei der Entscheidung, ob sie den vorzeitigen Strafantritt bewillige, ein grosses Ermessen zu. Dieses Ermessen habe die Vorinstanz missachtet. Der Stand des Verfahrens erlaube es nicht, dem Beschwerdegegner den vorzeitigen Strafantritt zu gewähren. Der Beschwerdegegner sei nicht geständig, und es stehe neben einer Freiheitsstrafe auch eine Verwahrung nach Art. 64 Abs. 1 StGB zur Diskussion. Selbst wenn der Vollzug der Freiheitsstrafe einer Verwahrung vorausgehe ( Art. 64 Abs. 2 StGB ), sei in einer solchen Konstellation der vorzeitige Strafantritt besonders zurückhaltend zu bewilligen. Werde nämlich neben einer Freiheitsstrafe gleichzeitig auch eine Verwahrung angeordnet, sei der öffentlichen Sicherheit im Rahmen des Strafvollzugs in besonderem Mass Rechnung zu tragen (vgl. Art. 64 Abs. 4 StGB ). Des Weiteren stehe auch der besondere Haftgrund der Kollusionsgefahr der Anordnung des vorzeitigen Strafantritts entgegen. Schliesslich könnten die Ergebnisse des angeordneten psychiatrischen Gutachtens weitere Beweismassnahmen notwendig machen.</w:t>
      </w:r>
    </w:p>
    <w:p>
      <w:r>
        <w:rPr>
          <w:b/>
        </w:rPr>
        <w:t>E. 2.2</w:t>
      </w:r>
    </w:p>
    <w:p>
      <w:r>
        <w:t>Die Vorinstanz hat erwogen, das Vorverfahren sei abgeschlossen. Am 25. Mai 2011 habe die Hauptverhandlung vor dem Bezirksgericht stattgefunden. Dabei seien der Beschwerdegegner, A.________, B.________ und C.________ einvernommen worden. Ausstehend sei nunmehr einzig das vom Bezirksgericht in Auftrag gegebene psychiatrische Gutachten. Zweck dieses Gutachtens sei, die Schuldfähigkeit, die Massnahmebedürftigkeit, die Massnahmefähigkeit und die Behandlungsbereitschaft des Beschwerdegegners abzuklären. Eine nach Eingang des Gutachtens neu angesetzte Hauptverhandlung habe sich auf die Abnahme dieses Beweises und die Stellungnahmen der Parteien dazu zu beschränken. Eine erneute Befragung der Beteiligten erscheine unter diesen Umständen unwahrscheinlich. Die Kollusionsgefahr bestehe damit jedenfalls nicht in einem Ausmass, welches der Bewilligung des vorzeitigen Strafvollzugs entgegenstehen würde. Daran ändere auch der Einwand der Beschwerdeführerin nichts, der Bruder von B.________ habe ausgesagt, der Beschwerdegegner habe Kollegen beauftragt, ihn anzurufen und zu beeinflussen.</w:t>
      </w:r>
    </w:p>
    <w:p>
      <w:r>
        <w:rPr>
          <w:b/>
        </w:rPr>
        <w:t>E. 2.3</w:t>
      </w:r>
    </w:p>
    <w:p>
      <w:r>
        <w:t>Gemäss Art. 236 Abs. 1 StPO kann die Verfahrensleitung der beschuldigten Person bewilligen, Freiheitsstrafen oder freiheitsentziehende Massnahmen vorzeitig anzutreten, sofern der Stand des Verfahrens es erlaubt.</w:t>
      </w:r>
    </w:p>
    <w:p>
      <w:r>
        <w:t>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muss weiterhin ein besonderer Haftgrund wie namentlich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 BGE 132 I 21 E. 3.2 f. S. 23 f. mit Hinweisen).</w:t>
      </w:r>
    </w:p>
    <w:p>
      <w:r>
        <w:t>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besonderen Haftgrund der Kollusionsgefahr ergeben, beschränkt werden (vgl. Art. 236 Abs. 4 StPO ; BGE 133 I 270 E. 3.2.1 S. 278; Urteile des Bundesgerichts 1B_195/2009 vom 6. November 2009 E. 5 und 1B_84/2010 vom 12. April 2010 E. 2.3.3).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(Urteil des Bundesgerichts 1B_362/2010 vom 19. November 2010 E. 3.2).</w:t>
      </w:r>
    </w:p>
    <w:p>
      <w:r>
        <w:rPr>
          <w:b/>
        </w:rPr>
        <w:t>E. 2.4</w:t>
      </w:r>
    </w:p>
    <w:p>
      <w:r>
        <w:t>Der Beschwerdegegner bestreitet den Tatbestand der versuchten vorsätzlichen Tötung nicht, beruft sich aber auf den Rechtfertigungsgrund der Notwehr und beantragt einen Freispruch. Damit ist er nicht vollumfänglich geständig. Entgegen der Auffassung der Beschwerdeführerin steht jedoch ein fehlendes oder ein nur teilweises Geständnis der Bewilligung des vorzeitigen Strafantritts von Gesetzes wegen nicht entgegen. Eine solche Voraussetzung wäre auch sachlich nur schwer zu rechtfertigen. Sie stünde in einem Spannungsverhältnis zu fundamentalen Verteidigungsrechten, namentlich dem Recht der beschuldigten Person, sich nicht selbst zu belasten oder die Aussage zu verweigern (vgl. Urteil des Bundesgerichts 1B_195/2009 vom 6. November 2009 E. 6). Allerdings kann die fehlende vollumfängliche Geständigkeit bei der Beurteilung der Kollusionsgefahr eine Rolle spielen (MARKUS HUG, in: Donatsch/Hansjakob/Lieber, Kommentar StPO, 2010, Art. 236 N. 10).</w:t>
      </w:r>
    </w:p>
    <w:p>
      <w:r>
        <w:rPr>
          <w:b/>
        </w:rPr>
        <w:t>E. 2.5</w:t>
      </w:r>
    </w:p>
    <w:p>
      <w:r>
        <w:t>Wie die Vorinstanz zutreffend erwogen hat, erscheint die Kollusionsgefahr vorliegend trotz fehlender vollumfänglicher Geständigkeit des Beschwerdegegners nicht derart ausgeprägt, dass eine Bewilligung des vorzeitigen Strafvollzugs den Haftzweck und die Ziele des Strafverfahrens gefährden würde. Dabei ist namentlich zu berücksichtigen, dass die Strafuntersuchung abgeschlossen ist und auch die erstinstanzliche Hauptverhandlung stattgefunden hat. Sämtliche notwendigen Konfrontationseinvernahmen sind bereits durchgeführt worden. Ausstehend ist einzig das in Auftrag gegebenen psychiatrische Gutachten, welches sich zur Schuldfähigkeit, zur Massnahmebedürftigkeit, zur Massnahmefähigkeit und zur Behandlungsbereitschaft des Beschwerdegegners äussern soll. Dementsprechend sind nochmalige Einvernahmen der Beteiligten nicht wahrscheinlich, sodass nicht von einer hohen Kollusionsgefahr auszugehen ist. Vor diesem Hintergrund hat die Vorinstanz dem Beschwerdegegner den vorzeitigen Strafantritt zu Recht gewährt, ohne hierbei das der ersten Instanz zustehende Ermessen zu verletzen.</w:t>
      </w:r>
    </w:p>
    <w:p>
      <w:r>
        <w:t>An diesem Ergebnis ändert der Umstand, dass vorliegend eine Verwahrung des Beschwerdegegners zur Diskussion steht, nichts Entscheidendes. Vielmehr kann den Sicherungsbedürfnissen auch im vorzeitigen Strafvollzug hinreichend Rechnung getragen werden, indem die Vollzugsmodalitäten entsprechend ausgestaltet werden, d.h. etwa Aussenkontakte des Beschwerdegegners beschränkt oder untersagt werden. Eine entsprechende differenzierte Behandlung von strafprozessualen Häftlingen und Gefangenen im ordentlichen Strafvollzug ist zulässig, behält doch Art. 84 Abs. 2 Satz 3 StGB strafprozessuale Massnahmen zur Sicherstellung der Strafverfolgung ausdrücklich vor (vgl. BGE 133 I 270 E. 3.2.1 S. 278; Urteil des Bundesgerichts 1B_195/2009 vom 6. November 2009 E. 6; siehe zum Ganzen auch MATTHIAS HÄRRI, Basler Kommentar StPO, 2010, Art. 236 N. 8, 17 und 26).</w:t>
      </w:r>
    </w:p>
    <w:p>
      <w:r>
        <w:rPr>
          <w:b/>
        </w:rPr>
        <w:t>E. 3</w:t>
      </w:r>
    </w:p>
    <w:p>
      <w:r>
        <w:t>Die Beschwerde ist demnach abzuweisen. Mit dem Entscheid in der Sache wird das Gesuch um aufschiebende Wirkung gegenstandslos. Gerichtskosten sind keine zu erheben ( Art. 66 Abs. 4 BGG ). Die Beschwerdeführerin hat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