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1B_482/2020 vom 27. Oktober 2020</w:t>
      </w:r>
    </w:p>
    <w:p>
      <w:r>
        <w:t>Bundesgericht, 2020-10-27, DE</w:t>
      </w:r>
    </w:p>
    <w:p>
      <w:r>
        <w:rPr>
          <w:b/>
        </w:rPr>
        <w:t xml:space="preserve">Quelle: </w:t>
      </w:r>
      <w:r>
        <w:t>https://mcp.opencaselaw.ch/entscheid/bger_1B_482_2020</w:t>
      </w:r>
    </w:p>
    <w:p>
      <w:r>
        <w:t>FR: TF 1B_482/2020 du 27 octobre 2020</w:t>
      </w:r>
    </w:p>
    <w:p>
      <w:r>
        <w:t>IT: TF 1B_482/2020 del 27 ottobre 2020</w:t>
      </w:r>
    </w:p>
    <w:p>
      <w:pPr>
        <w:pStyle w:val="Heading2"/>
      </w:pPr>
      <w:r>
        <w:t>Erwägungen</w:t>
      </w:r>
    </w:p>
    <w:p>
      <w:r>
        <w:rPr>
          <w:b/>
        </w:rPr>
        <w:t>E. 1</w:t>
      </w:r>
    </w:p>
    <w:p>
      <w:r>
        <w:t>Im Strafverfahren gegen A.________ wegen Sachbeschädigung etc. wies die Staatsanwaltschaft Graubünden am 9. Dezember 2019 dessen Gesuch um amtliche Verteidigung ab.</w:t>
      </w:r>
    </w:p>
    <w:p>
      <w:r>
        <w:t>A.________ erhob gegen diese Verfügung Beschwerde ans Kantonsgericht Graubünden und ersuchte um unentgeltliche Rechtspflege.</w:t>
      </w:r>
    </w:p>
    <w:p>
      <w:r>
        <w:t>Das Kantonsgericht wies mit Beschluss vom 13. Juli 2020 die Beschwerde und mit Verfügung vom gleichen Tag das Gesuch um unentgeltliche Rechtspflege ab.</w:t>
      </w:r>
    </w:p>
    <w:p>
      <w:r>
        <w:t>Mit Beschwerde vom 14. September 2020 beantragt A.________ sinngemäss, den Beschluss und die Verfügung des Kantonsgerichts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Kantonsgericht hat die Beschwerde gegen die Ablehnung des Gesuchs um amtliche Verteidigung abgelehnt mit der Begründung, das Strafverfahren stelle einen Bagatellfall dar, in welchem nach Art. 132 Abs. 2 StPO grundsätzlich kein Anspruch auf Beigabe eines amtlichen Verteidigers bestehe. Der Beschwerdeführer habe am Kantonsgericht schon verschiedene andere Verfahren geführt und bei Einvernahmen als Zeuge oder Beschuldigter seine Interessen in vernünftiger und konstruktiver Weise wahrgenommen. Dem hält der Beschwerdeführer in pauschaler Weise entgegen, wegen seiner schwierigen Kindheit und seiner instabilen psychischen Verfassung sei er nicht in der Lage, seine Interessen selber wahrzunehmen und belegt dies mit einem Arztbericht aus dem Jahr 2016. Dieser enthält jedoch nach der unbestrittenen Darstellung des Kantonsgerichts keine Hinweise darauf, dass seine Verhandlungsfähigkeit beeinträchtigt sein könnte. Diese Ausführungen genügen daher nicht, um die nachvollziehbare Einschätzung des Kantonsgerichts in Frage zu stellen bzw. bundesrechtswidrig erscheinen zu lassen.</w:t>
      </w:r>
    </w:p>
    <w:p>
      <w:r>
        <w:t>Die ebenfalls plausible Beurteilung des Kantonsgerichts, die Beschwerde sei aussichtslos gewesen, widerlegt der Beschwerdeführer nicht substantiiert und damit nicht in einer den gesetzlichen Anforderungen genügenden Weise; es ist nicht dargetan, dass die Verweigerung der unentgeltlichen Rechtspflege und - dem entsprechend - die Auferlegung der Verfahrenskosten von Fr. 1'500.-- Bundesrecht verletzt. Auf die Beschwerde gegen den angefochtenen Beschluss und die Verfügung ist damit wegen Verletzung der gesetzlichen Begründungspflicht nicht einzutreten. Auf die Erhebung von Gerichtskosten kann ausnahmsweise verzichtet werden, womit das Gesuch um unentgeltliche Rechtspflege insoweit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