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1B_482/2018 vom 2. November 2018</w:t>
      </w:r>
    </w:p>
    <w:p>
      <w:r>
        <w:t>Bundesgericht, 2018-11-02, FR</w:t>
      </w:r>
    </w:p>
    <w:p>
      <w:r>
        <w:rPr>
          <w:b/>
        </w:rPr>
        <w:t xml:space="preserve">Quelle: </w:t>
      </w:r>
      <w:r>
        <w:t>https://mcp.opencaselaw.ch/entscheid/bger_1B_482_2018</w:t>
      </w:r>
    </w:p>
    <w:p>
      <w:r>
        <w:t>FR: TF 1B_482/2018 du 2 novembre 2018</w:t>
      </w:r>
    </w:p>
    <w:p>
      <w:r>
        <w:t>IT: TF 1B_482/2018 del 2 novembre 2018</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La cour cantonale a retenu que les conditions de la détention provisoire pour prévenir un risque de collusion étaient réalisées.</w:t>
      </w:r>
    </w:p>
    <w:p>
      <w:r>
        <w:rPr>
          <w:b/>
        </w:rPr>
        <w:t>E. 2.1</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t>Pour retenir l'existence d'un risque de collusion au sens de l' art. 221 CPP ,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 Au demeurant, lorsqu'un prévenu est placé en détention, la procédure doit être conduite en priorité ( art. 5 al. 2 CPP ). Dans l'appréciation du respect de cette disposition, les circonstances concrètes du cas d'espèce sont déterminantes. Il y a lieu de tenir compte de la complexité de l'affaire et du comportement du prévenu (arrêt 1B_234/2015 du 22 juillet 2015 consid. 2.2 et les arrêts cités).</w:t>
      </w:r>
    </w:p>
    <w:p>
      <w:r>
        <w:rPr>
          <w:b/>
        </w:rPr>
        <w:t>E. 2.2</w:t>
      </w:r>
    </w:p>
    <w:p>
      <w:r>
        <w:t>En l'espèce, la cour cantonale a considéré que la détermination de l'ampleur exacte du trafic nécessitait encore d'identifier les acheteurs et fournisseurs du recourant, puis de les entendre. Si ces personnes étaient à même de faire établir un trafic plus important, il y aurait tout lieu de prévoir que le recourant chercherait à influencer en sa faveur les déclarations de celles-ci, ce qui justifiait son maintien en détention.</w:t>
      </w:r>
    </w:p>
    <w:p>
      <w:r>
        <w:t>Le recourant fait valoir pour sa part que, deux mois après son arrestation, aucun acheteur ni fournisseur n'a été entendu, la procédure n'étant ainsi pas conduite en priorité. Il ne pourrait en outre pas nuire à la recherche de la vérité puisqu'il s'est expliqué de manière détaillée sur la présence de stupéfiants à son domicile. Enfin, la recherche d'un trafic encore plus important ne serait qu'un danger hypothétique et théorique, fondé sur aucun élément concret et sérieux qui ressortirait du dossier.</w:t>
      </w:r>
    </w:p>
    <w:p>
      <w:r>
        <w:rPr>
          <w:b/>
        </w:rPr>
        <w:t>E. 2.3</w:t>
      </w:r>
    </w:p>
    <w:p>
      <w:r>
        <w:t>Le recourant a déposé sa demande de libération le 25 août 2018, soit une semaine après sa mise en détention. A une telle échéance, on ne peut considérer que le risque de collusion avait diminué.</w:t>
      </w:r>
    </w:p>
    <w:p>
      <w:r>
        <w:t>Le recourant ne s'en prend, à juste titre, pas à la pertinence des opérations que le Ministère public a indiqué être encore nécessaires à l'enquête. Or il ne s'agit pas seulement d'entendre mais, au préalable, d'identifier les personnes impliquées qui, selon ce qu'a retenu le Tmc, sont vraisemblablement nombreuses. Vu le caractère moyen de difficulté de l'affaire, on ne peut, en l'état, faire grief aux enquêteurs de ne pas encore avoir procédé aux auditions nécessaires. Cela justifie la durée de la détention intervenue jusqu'ici. Au demeurant, rien ne permet de supposer que le Ministère public ne mènera pas ces opérations avec la diligence requise dans une cause où le prévenu est détenu ( art. 5 al. 2 CPP ).</w:t>
      </w:r>
    </w:p>
    <w:p>
      <w:r>
        <w:t>En outre, les seules explications que le recourant a données quant à la présence de stupéfiants à son domicile ne sauraient réduire à néant le risque qu'il veuille intervenir dans les déclarations des autres personnes impliquées. En effet, déterminer la fiabilité des déclarations du recourant sera précisément l'un des buts de ces autres mesures d'instruction. Il est donc justifié que, l'enquête se poursuivant pour permettre de préciser l'activité délictueuse du recourant, celui-ci soit maintenu à l'écart des autres personnes concernées.</w:t>
      </w:r>
    </w:p>
    <w:p>
      <w:r>
        <w:t>Le risque de collusion retenu par la cour cantonale doit par conséquent être confirmé.</w:t>
      </w:r>
    </w:p>
    <w:p>
      <w:r>
        <w:rPr>
          <w:b/>
        </w:rPr>
        <w:t>E. 2.4</w:t>
      </w:r>
    </w:p>
    <w:p>
      <w:r>
        <w:t>Les autres conditions de la détention ne sont pas contestées. En l'état, la détention du prévenu respecte les dispositions légales.</w:t>
      </w:r>
    </w:p>
    <w:p>
      <w:r>
        <w:rPr>
          <w:b/>
        </w:rPr>
        <w:t>E. 3</w:t>
      </w:r>
    </w:p>
    <w:p>
      <w:r>
        <w:t>Le recours est dès lors rejeté et l'arrêt attaqué confirmé.</w:t>
      </w:r>
    </w:p>
    <w:p>
      <w:r>
        <w:t>Les conditions posées à l' art. 64 al. 1 LTF étant réunies, il convient de mettre le recourant au bénéfice de l'assistance judiciaire, de lui désigner Me Fabien Mingard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