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1B_482/2012 vom 5. Februar 2013</w:t>
      </w:r>
    </w:p>
    <w:p>
      <w:r>
        <w:t>Bundesgericht, 2013-02-05, DE</w:t>
      </w:r>
    </w:p>
    <w:p>
      <w:r>
        <w:rPr>
          <w:b/>
        </w:rPr>
        <w:t xml:space="preserve">Quelle: </w:t>
      </w:r>
      <w:r>
        <w:t>https://mcp.opencaselaw.ch/entscheid/bger_1B_482_2012</w:t>
      </w:r>
    </w:p>
    <w:p>
      <w:r>
        <w:t>FR: TF 1B_482/2012 du 5 février 2013</w:t>
      </w:r>
    </w:p>
    <w:p>
      <w:r>
        <w:t>IT: TF 1B_482/2012 del 5 febbraio 2013</w:t>
      </w:r>
    </w:p>
    <w:p>
      <w:pPr>
        <w:pStyle w:val="Heading2"/>
      </w:pPr>
      <w:r>
        <w:t>Erwägungen</w:t>
      </w:r>
    </w:p>
    <w:p>
      <w:r>
        <w:rPr>
          <w:b/>
        </w:rPr>
        <w:t>E. 1.1</w:t>
      </w:r>
    </w:p>
    <w:p>
      <w:r>
        <w:t>Beim angefochtenen Entscheid handelt es sich um einen kantonal letztinstanzlichen Zwischenentscheid in Strafsachen ( Art. 78, 80 und 93 BGG ).</w:t>
      </w:r>
    </w:p>
    <w:p>
      <w:r>
        <w:rPr>
          <w:b/>
        </w:rPr>
        <w:t>E. 1.2</w:t>
      </w:r>
    </w:p>
    <w:p>
      <w:r>
        <w:t>Genauer zu prüfen ist, ob die Sachurteilsvoraussetzungen von Art. 93 BGG erfüllt sind. Sofern sich diese nicht ohne Weiteres aus den Akten ergeben, obliegt es dem Beschwerdeführer darzulegen, inwiefern sie gegeben sind ( BGE 137 III 324 E. 1.1 S. 328 f.; 133 III 629 E. 2.3.1 und 2.4.2 S. 632 f.; je mit Hinweisen). Vorliegend fällt von vornherein ausschliesslich die Variante von Art. 93 Abs. 1 lit. a BGG in Betracht. Danach ist die Beschwerde gegen einen Zwischenentscheid zulässig, wenn dieser einen nicht wieder gutzumachenden Nachteil bewirken kann.</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w:t>
      </w:r>
    </w:p>
    <w:p>
      <w:r>
        <w:rPr>
          <w:b/>
        </w:rPr>
        <w:t>E. 1.3</w:t>
      </w:r>
    </w:p>
    <w:p>
      <w:r>
        <w:t>Der in einem Zwischenentscheid enthaltene Kosten- und Entschädigungspunkt kann grundsätzlich nur im Rahmen einer Beschwerde gegen den Hauptpunkt ans Bundesgericht weitergezogen werden ( BGE 135 III 329 E. 1 S. 331 ff. mit Hinweisen). Die Beschwerdeführerin ficht den vorinstanzlichen Entscheid im Hauptpunkt nicht an; ihre Beschwerde richtet sich ausschliesslich gegen den Entschädigungspunkt. Der in einem Zwischenentscheid enthaltene Entscheid über Kosten- und Entschädigungsfolgen kann jedoch allein grundsätzlich keinen nicht wieder gutzumachenden Nachteil bewirken ( BGE 138 III 94 E. 2.2 f. S. 95 f. mit Hinweisen). Dass es vorliegend anders wäre, ist nicht ersichtlich und wird von der Beschwerdeführerin auch nicht geltend gemacht. Auf die Beschwerde ist deshalb nicht einzutreten. Die Beschwerdeführerin wird ihre Kritik nach Vorliegen des Endentscheids (und unabhängig von dessen Inhalt) mit Beschwerde ans Bundesgericht vortragen können ( Art. 93 Abs. 3 BGG ; BGE 135 III 329 E. 1.2.2 S. 333; siehe zum Ganzen auch: Urteil 1B_488/2012 vom 21. Januar 2013 E. 1.3).</w:t>
      </w:r>
    </w:p>
    <w:p>
      <w:r>
        <w:rPr>
          <w:b/>
        </w:rPr>
        <w:t>E. 2</w:t>
      </w:r>
    </w:p>
    <w:p>
      <w:r>
        <w:t>Auf die Beschwerde ist nicht einzutreten. Die Beschwerdeführerin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