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482/2011 vom 4. Oktober 2011</w:t>
      </w:r>
    </w:p>
    <w:p>
      <w:r>
        <w:t>Bundesgericht, 2011-10-04, FR</w:t>
      </w:r>
    </w:p>
    <w:p>
      <w:r>
        <w:rPr>
          <w:b/>
        </w:rPr>
        <w:t xml:space="preserve">Quelle: </w:t>
      </w:r>
      <w:r>
        <w:t>https://mcp.opencaselaw.ch/entscheid/bger_1B_482_2011</w:t>
      </w:r>
    </w:p>
    <w:p>
      <w:r>
        <w:t>FR: TF 1B 482/2011 du 4 octobre 2011</w:t>
      </w:r>
    </w:p>
    <w:p>
      <w:r>
        <w:t>IT: TF 1B 482/2011 del 4 ottobre 2011</w:t>
      </w:r>
    </w:p>
    <w:p>
      <w:pPr>
        <w:pStyle w:val="Heading2"/>
      </w:pPr>
      <w:r>
        <w:t>Regeste</w:t>
      </w:r>
    </w:p>
    <w:p>
      <w:r>
        <w:t>détention pour des motifs de sûreté | Procédure pénale</w:t>
      </w:r>
    </w:p>
    <w:p>
      <w:pPr>
        <w:pStyle w:val="Heading2"/>
      </w:pPr>
      <w:r>
        <w:t>Erwägungen</w:t>
      </w:r>
    </w:p>
    <w:p>
      <w:r>
        <w:rPr>
          <w:b/>
        </w:rPr>
        <w:t>E. 1</w:t>
      </w:r>
    </w:p>
    <w:p>
      <w:r>
        <w:t>Selon l' art. 78 LTF , le recours en matière pénale est ouvert contre les décisions rendues en matière pénale, notamment les décisions relatives à la détention provisoire ou pour des motifs de sûreté au sens des art. 212 ss CPP . Selon l'art. 81 al. 1 let. a et let. b ch. 1 LTF, l'accusé a qualité pour agir. Le recours est formé en temps utile ( art. 100 al. 1 LTF ) contre une décision rendue en dernière instance cantonale ( art. 80 LTF ) et les conclusions présentées sont recevables au regard de l' art. 107 al. 2 LTF .</w:t>
      </w:r>
    </w:p>
    <w:p>
      <w:r>
        <w:rPr>
          <w:b/>
        </w:rPr>
        <w:t>E. 2</w:t>
      </w:r>
    </w:p>
    <w:p>
      <w:r>
        <w:t>Invoquant les art. 10 al. 2 Cst. et 5 CEDH, le recourant tient sa détention pour disproportionnée. Selon lui, il y aurait lieu de tenir compte de la peine prononcée et du sursis accordé en première instance. En l'occurrence, le recourant a été condamné à trois ans de privation de liberté, dont la moitié avec sursis, alors qu'il a déjà passé plus de 18 mois en détention provisoire. En dépit de l'appel formé par le Ministère public, rien ne permettrait de considérer que le jugement de première instance serait manifestement erroné s'agissant de la quotité de la peine et de la question du repentir actif, compte tenu de l'attitude du prévenu durant l'instruction, des excuses formulées à l'égard des victimes et des versements opérés personnellement afin de les indemniser.</w:t>
      </w:r>
    </w:p>
    <w:p>
      <w:r>
        <w:rPr>
          <w:b/>
        </w:rPr>
        <w:t>E. 2.1</w:t>
      </w:r>
    </w:p>
    <w:p>
      <w:r>
        <w:t>En vertu des art. 31 al. 3 Cst. et 5 par. 3 CEDH, toute personne qui est mise en détention préventive a le droit d'être jugée dans un délai raisonnable ou d'être libérée pendant la procédure pénale. Une durée excessive de la détention constitue une limitation disproportionnée de ce droit fondamental, qui est notamment violé lorsque la durée de la détention préventive dépasse la durée probable de la peine privative de liberté à laquelle il faut s'attendre. Dans l'examen de la proportionnalité de la durée de la détention, il y a lieu de prendre en compte la gravité des infractions faisant l'objet de l'instruction. Le juge peut maintenir la détention préventive aussi longtemps qu'elle n'est pas très proche de la durée de la peine privative de liberté à laquelle il faut s'attendre concrètement en cas de condamnation ( ATF 133 I 168 consid. 4.1 p. 170; 132 I 21 consid. 4.1 p. 27; 107 Ia 256 consid. 2 et 3 p. 257 ss et les références). Il convient d'accorder une attention particulière à cette limite, car le juge de l'action pénale pourrait être enclin à prendre en considération dans la fixation de la peine la durée de la détention préventive à imputer selon l' art. 51 CP ( ATF 133 I 168 consid. 4.1 p. 170 et les arrêts cités). Selon une jurisprudence constante, la possibilité d'un sursis, voire d'un sursis partiel, n'a en principe pas à être prise en considération dans l'examen de la proportionnalité de la détention préventive ( ATF 133 I 270 consid. 3.4.2 p. 281-282; 125 I 60 ). Lorsque le détenu a déjà été jugé en première instance, ce prononcé constitue un indice important s'agissant de la peine susceptible de devoir être finalement exécutée.</w:t>
      </w:r>
    </w:p>
    <w:p>
      <w:r>
        <w:rPr>
          <w:b/>
        </w:rPr>
        <w:t>E. 2.2</w:t>
      </w:r>
    </w:p>
    <w:p>
      <w:r>
        <w:t>En l'occurrence, le recourant a été condamné à trois ans de privation de liberté. Il a obtenu une forte réduction de peine en raison de la circonstance atténuante du repentir sincère. Si cette dernière devait finalement être niée en appel, la peine du recourant pourrait alors se rapprocher de celle qui a été prononcée le 15 octobre 2009 contre son complice, soit cinq ans de privation de liberté. Même s'il n'a en principe pas à examiner en détail le bien-fondé de la condamnation et la quotité de la peine prononcée en première instance, le juge de la détention ne pouvait faire abstraction de l'existence d'un appel du Ministère public tendant à une aggravation de la peine. Il devait dès lors examiner prima facie les chances de succès d'une telle démarche. A ce sujet, il a relevé que les aveux du recourant n'avaient été ni spontanés, ni complets, et que le recourant paraissait s'être d'abord interrogé sur le bénéfice à retirer de sa collaboration. Par ailleurs, les montants versés aux victimes ne représentaient pas des sacrifices particulièrement méritoires. Sous l'angle de la vraisemblance, ces considérations ne prêtent pas le flanc à la critique et permettent d'envisager le prononcé d'une peine privative de liberté supérieure à trois ans, ce qui exclurait l'octroi du sursis partiel ( art. 43 al. 1 CP ). Le principe de la proportionnalité n'est dès lors pas violé.</w:t>
      </w:r>
    </w:p>
    <w:p>
      <w:r>
        <w:rPr>
          <w:b/>
        </w:rPr>
        <w:t>E. 2.3</w:t>
      </w:r>
    </w:p>
    <w:p>
      <w:r>
        <w:t>Le recourant conteste également en vain l'existence d'un risque de fuite. Faisant partie des gens du voyage, sans aucune attache avec la Suisse, il se trouve exposé, en cas d'admission de l'appel du Ministère public, à devoir encore purger une peine ferme d'une certaine durée. Le recourant propose le versement d'une caution de 5'000 fr., qui serait versée par son père. La cour cantonale relève à ce propos que ce montant est quatre fois inférieur à celui qui était proposé à l'appui de la demande de mise en liberté ayant fait l'objet de l'arrêt du Tribunal fédéral. Ce dernier a en effet confirmé qu'une caution de 20'000 fr. apparaissait totalement insuffisante pour pallier le risque de fuite (consid. 4.2). Ces considérations conservent leur pertinence, dès lors que le risque de fuite n'a pas diminué au stade actuel de la procédure. Cela conduit au rejet du grief.</w:t>
      </w:r>
    </w:p>
    <w:p>
      <w:r>
        <w:rPr>
          <w:b/>
        </w:rPr>
        <w:t>E. 3</w:t>
      </w:r>
    </w:p>
    <w:p>
      <w:r>
        <w:t>Le recours doit par conséquent être rejeté. Conformément à l' art. 66 al. 1 LTF , les frais judiciaires sont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