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1B_47/2019 vom 20. Februar 2019</w:t>
      </w:r>
    </w:p>
    <w:p>
      <w:r>
        <w:t>Bundesgericht, 2019-02-20, DE</w:t>
      </w:r>
    </w:p>
    <w:p>
      <w:r>
        <w:rPr>
          <w:b/>
        </w:rPr>
        <w:t xml:space="preserve">Quelle: </w:t>
      </w:r>
      <w:r>
        <w:t>https://mcp.opencaselaw.ch/entscheid/bger_1B_47_2019</w:t>
      </w:r>
    </w:p>
    <w:p>
      <w:r>
        <w:t>FR: TF 1B_47/2019 du 20 février 2019</w:t>
      </w:r>
    </w:p>
    <w:p>
      <w:r>
        <w:t>IT: TF 1B_47/2019 del 20 febbraio 2019</w:t>
      </w:r>
    </w:p>
    <w:p>
      <w:pPr>
        <w:pStyle w:val="Heading2"/>
      </w:pPr>
      <w:r>
        <w:t>Erwägungen</w:t>
      </w:r>
    </w:p>
    <w:p>
      <w:r>
        <w:rPr>
          <w:b/>
        </w:rPr>
        <w:t>E. 1.1</w:t>
      </w:r>
    </w:p>
    <w:p>
      <w:r>
        <w:t>Der Beschwerdeführer bringt vor, er lehne die vom Bundesgericht bestimmte Besetzung des Spruchkörpers wegen eines Verstosses gegen Art. 6 EMRK in seiner Ausprägung als Anspruch auf ein auf Gesetz beruhendes Gericht sowie in seiner Ausprägung als Anspruch auf ein unabhängiges und unparteiliches Gericht vollständig ab. Das Vorbringen bezieht sich auf das bundesgerichtliche Verfahren, weshalb darauf vorab einzugehen ist.</w:t>
      </w:r>
    </w:p>
    <w:p>
      <w:r>
        <w:rPr>
          <w:b/>
        </w:rPr>
        <w:t>E. 1.2</w:t>
      </w:r>
    </w:p>
    <w:p>
      <w:r>
        <w:t>Der Beschwerdeführer macht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des Reglements vom 20. November 2006 für das Bundesgericht (BGerR; SR 173.110.131) vorgesehenen Kriterien würden keine Gewähr dafür bieten, dass der Spruchkörper gegen Einflussnahme von aussen hinreichend geschützt sei. Der Abteilungspräsident habe weitgehend freie Hand, was konventionswidrig sei. Es sei auch zu berücksichtigen, dass die Bundesrichter nur für eine relativ kurze Amtszeit von sechs Jahren gewählt würden und damit verstärkt politischem Druck ausgesetzt seien. Dass die Gefahr einer Beeinflussung tatsächlich bestehe, zeige sich auch an einem Zeitungsartikel aus dem Jahr 2003 betreffend eine "Spuck-Affäre" von alt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1.3</w:t>
      </w:r>
    </w:p>
    <w:p>
      <w:r>
        <w:t>Das Bundesgericht hat in BGE 144 I 37 ausführlich dargelegt, dass die Besetzung des Spruchkörpers am Bundesgericht verfassungs- und konventionskonform geregelt ist. Es bestätigte damit seine Ausführungen im Urteil 1B_491/2016 vom 24. März 2017 E. 1.3.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1.4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1.3 hiervor), weshalb es sich erübrigt, auf seine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vermag der Beschwerdeführer nicht darzutun. Er behauptet im Übrigen auch nicht, dass im vorliegenden Fall von aussen versucht worden sei, auf das Verfahren Einfluss zu nehmen.</w:t>
      </w:r>
    </w:p>
    <w:p>
      <w:r>
        <w:rPr>
          <w:b/>
        </w:rPr>
        <w:t>E. 1.5</w:t>
      </w:r>
    </w:p>
    <w:p>
      <w:r>
        <w:t>Die Rüge der Verletzung von Art. 6 EMRK ist somit unbegründet, und der Spruchkörper ist in der dargestellten üblichen Weise zu besetzen.</w:t>
      </w:r>
    </w:p>
    <w:p>
      <w:r>
        <w:rPr>
          <w:b/>
        </w:rPr>
        <w:t>E. 2</w:t>
      </w:r>
    </w:p>
    <w:p>
      <w:r>
        <w:t>Beim angefochtenen Beschluss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berechtigt. Auf sein Rechtsmittel ist einzutreten.</w:t>
      </w:r>
    </w:p>
    <w:p>
      <w:r>
        <w:rPr>
          <w:b/>
        </w:rPr>
        <w:t>E. 3.1</w:t>
      </w:r>
    </w:p>
    <w:p>
      <w:r>
        <w:t>Der Beschwerdeführer kritisiert, der angefochtene Beschluss verstosse gegen Art. 6 und 18 EMRK . Das Ausstandsgesuch sei nicht verspätet gestellt worden. Gemäss Art. 339 StPO eröffne die Verfahrensleitung die Hauptverhandlung und gebe die Zusammensetzung des Gerichts bekannt. Diese Mitteilungspflicht bestehe gemäss Art. 331 Abs. 1 StPO gegenüber den Parteien bereits beim Ansetzen der Hauptverhandlung. Die Zusammensetzung könne sich aber unter Umständen inzwischen geändert haben. Damit sei das Ausstandsgesuch fristgerecht gestellt worden.</w:t>
      </w:r>
    </w:p>
    <w:p>
      <w:r>
        <w:rPr>
          <w:b/>
        </w:rPr>
        <w:t>E. 3.2</w:t>
      </w:r>
    </w:p>
    <w:p>
      <w:r>
        <w:t>Das Obergericht legte dar, die Zusammensetzung des Spruchkörpers sei dem Beschuldigten seit der Verfügung vom 9. Juli 2018 bekannt. Diese Zusammensetzung erst am 30. November 2018 zu rügen, sei zu spät.</w:t>
      </w:r>
    </w:p>
    <w:p>
      <w:r>
        <w:rPr>
          <w:b/>
        </w:rPr>
        <w:t>E. 3.3</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3.4</w:t>
      </w:r>
    </w:p>
    <w:p>
      <w:r>
        <w:t>Vor dem Hintergrund dieser Rechtsprechung, die dem Rechtsvertreter des Beschwerdeführers bereits in anderen Verfahren dargelegt wurde (vgl. zum Beispiel Urteil 1B_513/2017 vom 5. März 2018 E. 3 mit Hinweisen), war sein Ausstandsgesuch offensichtlich verspätet. Dass sich die Spruchkörperbesetzung unter Umständen ändern kann, trifft zu, jedoch tat sie dies im Nachgang zur Verfügung vom 9. Juli 2018 gerade nicht. Eine Verletzung von Art. 6 und 18 EMRK ist deshalb zu verneinen.</w:t>
      </w:r>
    </w:p>
    <w:p>
      <w:r>
        <w:rPr>
          <w:b/>
        </w:rPr>
        <w:t>E. 3.5</w:t>
      </w:r>
    </w:p>
    <w:p>
      <w:r>
        <w:t>Das Obergericht beurteilte das Gesuch auch inhaltlich, um aufzuzeigen, dass es als unbegründet abzuweisen gewesen wäre, wenn darauf hätte eingetreten werden können. Ausschlaggebend für den Prozessausgang war dies jedoch nicht. Auf die Kritik des Beschwerdeführers an den betreffenden Erwägungen ist deshalb nicht einzugehen.</w:t>
      </w:r>
    </w:p>
    <w:p>
      <w:r>
        <w:rPr>
          <w:b/>
        </w:rPr>
        <w:t>E. 4</w:t>
      </w:r>
    </w:p>
    <w:p>
      <w:r>
        <w:t>Die Beschwerde ist aus diesen Gründen abzuweisen.</w:t>
      </w:r>
    </w:p>
    <w:p>
      <w:r>
        <w:t>Bei diesem Verfahrensausgang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aufzuerlegen. Eine Parteientschädigung ist nicht zuzusprechen ( Art. 68 Abs. 1-3 BGG ). Das Gesuch des Beschwerdeführers 1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