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47/2017 vom 10. Februar 2017</w:t>
      </w:r>
    </w:p>
    <w:p>
      <w:r>
        <w:t>Bundesgericht, 2017-02-10, DE</w:t>
      </w:r>
    </w:p>
    <w:p>
      <w:r>
        <w:rPr>
          <w:b/>
        </w:rPr>
        <w:t xml:space="preserve">Quelle: </w:t>
      </w:r>
      <w:r>
        <w:t>https://mcp.opencaselaw.ch/entscheid/bger_1B_47_2017</w:t>
      </w:r>
    </w:p>
    <w:p>
      <w:r>
        <w:t>FR: TF 1B 47/2017 du 10 février 2017</w:t>
      </w:r>
    </w:p>
    <w:p>
      <w:r>
        <w:t>IT: TF 1B 47/2017 del 10 febbraio 2017</w:t>
      </w:r>
    </w:p>
    <w:p>
      <w:pPr>
        <w:pStyle w:val="Heading2"/>
      </w:pPr>
      <w:r>
        <w:t>Regeste</w:t>
      </w:r>
    </w:p>
    <w:p>
      <w:r>
        <w:t>Strafverfahren; Einsetzung a.o. amtliche Verteidigung | Strafprozess</w:t>
      </w:r>
    </w:p>
    <w:p>
      <w:pPr>
        <w:pStyle w:val="Heading2"/>
      </w:pPr>
      <w:r>
        <w:t>Erwägungen</w:t>
      </w:r>
    </w:p>
    <w:p>
      <w:r>
        <w:rPr>
          <w:b/>
        </w:rPr>
        <w:t>E. 1</w:t>
      </w:r>
    </w:p>
    <w:p>
      <w:r>
        <w:t>Die Staatsanwaltschaft Abteilung 3 Sursee sprach A.________ mit Strafbefehl vom 2. Juni 2016 des Führens eines Personenwagens mit einer qualifizierten Blutalkoholkonzentration schuldig und bestrafte ihn mit einer bedingten Geldstrafe von 60 Tagessätzen zu je Fr. 70.-- sowie einer Busse von Fr. 1'100.--. Nach erfolgter Einsprache von A.________ überwies die Staatsanwaltschaft die Angelegenheit am 23. September 2016 an das Bezirksgericht Willisau zur Durchführung des Hauptverfahrens.</w:t>
      </w:r>
    </w:p>
    <w:p>
      <w:r>
        <w:rPr>
          <w:b/>
        </w:rPr>
        <w:t>E. 2</w:t>
      </w:r>
    </w:p>
    <w:p>
      <w:r>
        <w:t>Am 10. Oktober 2016 stellte A.________ ein Gesuch um unentgeltliche Rechtspflege und um Einsetzung eines a.o. amtlichen Verteidigers. Das Bezirksgericht Willisau wies mit Verfügung vom 25. Oktober 2016 das Gesuch um a.o. amtliche Verteidigung ab. Dagegen erhob A.________ Beschwerde, welche das Kantonsgericht Luzern mit Beschluss vom 6. Januar 2017 abwies. Zur Begründung führte das Kantonsgericht zusammenfassend aus, dass es sich um einen Bagatellfall handle, der weder schwierig zu bewältigen sei noch eine besondere Tragweite aufweise.</w:t>
      </w:r>
    </w:p>
    <w:p>
      <w:r>
        <w:rPr>
          <w:b/>
        </w:rPr>
        <w:t>E. 3</w:t>
      </w:r>
    </w:p>
    <w:p>
      <w:r>
        <w:t>A.________ führt mit Eingabe vom 8. Februar 2017 Beschwerde in Strafsachen gegen den Beschluss des Kantonsgerichts Luzern vom 6. Januar 2017. Das Bundesgericht hat davon abgesehen, Stellungnahmen zur Beschwerde einzuholen.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setzt sich mit der Begründung des Kantonsgerichts, die zur Abweisung der Beschwerde führte, nicht auseinander und vermag mit seinen Ausführungen nicht aufzuzeigen, inwiefern die Begründung des Kantonsgerichts bzw. dessen Beschluss selbst rechts- bzw. verfassungswidrig sein soll. Demgemäss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5</w:t>
      </w:r>
    </w:p>
    <w:p>
      <w:r>
        <w:t>Angesichts der Aussichtslosigkeit des Verfahrens ist dem sinngemäss gestellten Gesuch um unentgeltliche Rechtspflege und Verbeiständung nicht zu entsprechen ( Art. 64 BGG ). 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