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478/2020 vom 15. Oktober 2020</w:t>
      </w:r>
    </w:p>
    <w:p>
      <w:r>
        <w:t>Bundesgericht, 2020-10-15, DE</w:t>
      </w:r>
    </w:p>
    <w:p>
      <w:r>
        <w:rPr>
          <w:b/>
        </w:rPr>
        <w:t xml:space="preserve">Quelle: </w:t>
      </w:r>
      <w:r>
        <w:t>https://mcp.opencaselaw.ch/entscheid/bger_1B_478_2020</w:t>
      </w:r>
    </w:p>
    <w:p>
      <w:r>
        <w:t>FR: TF 1B 478/2020 du 15 octobre 2020</w:t>
      </w:r>
    </w:p>
    <w:p>
      <w:r>
        <w:t>IT: TF 1B 478/2020 del 15 ottobre 2020</w:t>
      </w:r>
    </w:p>
    <w:p>
      <w:pPr>
        <w:pStyle w:val="Heading2"/>
      </w:pPr>
      <w:r>
        <w:t>Regeste</w:t>
      </w:r>
    </w:p>
    <w:p>
      <w:r>
        <w:t>Vorladung | Strafprozess</w:t>
      </w:r>
    </w:p>
    <w:p>
      <w:pPr>
        <w:pStyle w:val="Heading2"/>
      </w:pPr>
      <w:r>
        <w:t>Erwägungen</w:t>
      </w:r>
    </w:p>
    <w:p>
      <w:r>
        <w:rPr>
          <w:b/>
        </w:rPr>
        <w:t>E. 1</w:t>
      </w:r>
    </w:p>
    <w:p>
      <w:r>
        <w:t>Mit Beschluss vom 28. August 2020 ist die Beschwerdekammer in Strafsachen des Obergerichts des Kantons Bern auf eine Beschwerde von A.________ gegen eine Vorladung der 2. Strafkammer des Obergerichts des Kantons Bern vom 18. August 2020 nicht eingetreten mit der Begründung, es liege kein taugliches Anfechtungsobjekt vor. Mit Eingabe vom 14. September 2020 erhebt A.________ Beschwerde gegen diesen Beschluss des Obergerichts.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setzt sich mit dem angefochtenen Entscheid unter Verletzung seiner gesetzlichen Begründungspflicht nicht auseinander. Er wirft zwar verschiedenen Oberrichtern "Betrug" vor und lehnt sie ab. Das geht indessen an der Sache vorbei, soweit sich die Vorwürfe auf Oberrichter beziehen, die an diesem Verfahren nicht mitgewirkt haben. Soweit sie sich auf die am angefochtenen Entscheid beteiligten Richter beziehen, erfüllen sie die gesetzlichen Anforderungen an ein Ausstandsbegehren von vornherein nicht, da keine konkreten Handlungen oder Unterlassungen genannt werden, aus denen sich ihre Befangenheit ergeben könnte. Auf die Beschwerde ist nicht einzutreten. Von der Erhebung von Kosten kann ausnahmsweise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