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1B_477/2021 vom 22. März 2022</w:t>
      </w:r>
    </w:p>
    <w:p>
      <w:r>
        <w:t>Bundesgericht, 2022-03-22, FR</w:t>
      </w:r>
    </w:p>
    <w:p>
      <w:r>
        <w:rPr>
          <w:b/>
        </w:rPr>
        <w:t xml:space="preserve">Quelle: </w:t>
      </w:r>
      <w:r>
        <w:t>https://mcp.opencaselaw.ch/entscheid/bger_1B_477_2021</w:t>
      </w:r>
    </w:p>
    <w:p>
      <w:r>
        <w:t>FR: TF 1B_477/2021 du 22 mars 2022</w:t>
      </w:r>
    </w:p>
    <w:p>
      <w:r>
        <w:t>IT: TF 1B_477/2021 del 22 marzo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 p. 335).</w:t>
      </w:r>
    </w:p>
    <w:p>
      <w:r>
        <w:rPr>
          <w:b/>
        </w:rPr>
        <w:t>E. 1.1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 ATF 143 IV 462 consid. 1 p. 465).</w:t>
      </w:r>
    </w:p>
    <w:p>
      <w:r>
        <w:rPr>
          <w:b/>
        </w:rPr>
        <w:t>E. 1.2</w:t>
      </w:r>
    </w:p>
    <w:p>
      <w:r>
        <w:t>Ne mettant pas un terme à la procédure pénale dirigée contre le recourant, la décision attaquée est de nature incidente. Dans une telle configuration, le recours en matière pénale n'est recevable contre une ordonnance de levée de scellés que si elle est susceptible de causer un préjudice irréparable à son destinataire en portant atteinte à un secret protégé par la loi (cf. art. 93 al. 1 let. a LTF en relation avec l' art. 248 al. 1 CPP ; ATF 143 IV 462 consid. 1 p. 465); tel peut être le cas lorsqu'un secret commercial ou d'affaires au sens de l' art. 162 CP est invoqué par le détenteur des pièces litigieuses (arrêts 1B_282/2021 du 23 novembre 2021 consid. 2.1; 1B_295/2021 du 28 septembre 2021 consid. 1.1; 1B_132/2021 du 23 septembre 2021 consid. 2.3; 1B_458/2020 du 27 janvier 2021 consid. 3.1; 1B_108/2020 du 25 novembre 2020 consid. 3.2 et les arrêts cités). Pour démontrer l'existence d'un tel préjudice, il ne suffit pas de prétendre que le document ou l'objet saisi contiendrait des données qui entreraient dans le champ de protection de la sphère privée selon l' art. 13 al. 1 Cst. (arrêts 1B_295/2021 du 28 septembre 2021 consid. 1.1; 1B_48/2021 du 23 juin 2021 consid. 3.2; 1B_115/2020 du 5 mars 2020 consid. 2; 1B_153/2019 du 11 décembre 2019 consid 1.6), respectivement de soutenir que certains documents seraient inutiles pour l'enquête pénale (arrêts 1B_295/2021 du 28 septembre 2021 consid. 1.1; 1B_48/2021 du 23 juin 2021 consid. 3.2; 1B_108/2020 du 25 novembre 2020 consid. 3.4.5).</w:t>
      </w:r>
    </w:p>
    <w:p>
      <w:r>
        <w:t>En tout état de cause, il appartient à celui ayant invoqué la mise sous scellés de démontrer, de manière suffisante, l'existence du secret invoqué, notamment professionnel ( ATF 145 IV 273 consid. 3.2 p. 276; arrêt 1B_458/2020 du 27 janvier 2021 consid. 3.1 et les arrêts cités), et/ou l'intérêt privé prépondérant au maintien du secret dont il se prévaut ( ATF 145 IV 273 consid. 3.3 p. 277).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144 III 475 consid. 1.2 p. 479 s.; 141 IV 284 consid. 2.3 p. 287; arrêts 1B_32/2022 du 27 janvier 2022 consid. 2.1; 1B_48/2021 du 23 juin 2021 consid. 3.2).</w:t>
      </w:r>
    </w:p>
    <w:p>
      <w:r>
        <w:rPr>
          <w:b/>
        </w:rPr>
        <w:t>E. 1.2.1</w:t>
      </w:r>
    </w:p>
    <w:p>
      <w:r>
        <w:t>En procédure pénale, le secret des affaires ou un secret au sens de l' art. 162 CP ne bénéficie pas de la même protection que les secrets professionnels ou de fonction visés par les art. 170 et 171 CPP . Selon l' art. 173 al. 2 1 ère phrase CPP, les détenteurs d'autres secrets protégés par la loi sont en effet tenus de déposer. Ils peuvent en être dispensés lorsqu'ils rendent vraisemblable que l'intérêt au maintien du secret l'emporte sur l'intérêt à la manifestation de la vérité (cf. art. 173 al. 2 2 ème phrase CPP; ATF 145 IV 273 consid. 3.3 p. 277; arrêts 1B_282/2021 du 23 novembre 2021 consid. 4.2; 1B_458/2020 du 27 janvier 2021 consid. 3.2 et les arrêts cités). Il en va de même du secret bancaire ( ATF 142 IV 207 consid. 10 p. 227 s.).</w:t>
      </w:r>
    </w:p>
    <w:p>
      <w:r>
        <w:rPr>
          <w:b/>
        </w:rPr>
        <w:t>E. 1.2.2</w:t>
      </w:r>
    </w:p>
    <w:p>
      <w:r>
        <w:t>En l'occurrence, le recourant ne se prévaut pas, à juste titre, d'atteinte à la sphère privée et/ou du prétendu défaut de pertinence de certaines pièces (cf. le grief y relatif soulevé cependant au fond ad let. c p. 44 du recours) pour démontrer la recevabilité de son recours. Il ne prétend pas non plus que certains documents seraient couverts par le secret professionnel de l'avocat ou un autre secret de fonction.</w:t>
      </w:r>
    </w:p>
    <w:p>
      <w:r>
        <w:t>Le recourant invoque en revanche le secret des affaires (cf. ad let. B p. 25 du recours, voir également ad let. d p. 44 ss). Cela étant, il n'explique tout d'abord pas en quoi il devrait être considéré comme le détenteur des pièces en cause, celles-ci provenant de l'entraide entre autorités (cf. art. 194 CPP ) et d'une société tierce sur laquelle le recourant ne prétend pas opérer de contrôle, y compris éventuellement par le biais de sociétés du groupe A.________. Eu égard à l'origine de ces documents, il ne pouvait donc se limiter à affirmer, sans démonstration, être personnellement concerné (cf. ad let. B p. 24 du recours); une telle conclusion ne s'impose en tout cas pas du seul fait qu'il a le statut de prévenu et que les pièces requises seront versées au dossier d'instruction le concernant. Agissant en son propre nom dans la présente cause, le recourant ne peut pas non plus, sans explication, se prévaloir du secret des affaires. Il ne se réfère à cet égard à aucune activité particulière qu'il aurait exercée, que ce soit à titre individuel et/ou pour le compte de société (s) dont il aurait eu le contrôle ou envers qui il aurait des obligations par exemple de confidentialité. Il n'est ainsi pas d'emblée évident que ce motif puisse être invoqué dans le cas d'espèce.</w:t>
      </w:r>
    </w:p>
    <w:p>
      <w:r>
        <w:t>En tout état de cause, le recourant a le statut de prévenu dans la présente procédure, lui étant reproché des infractions à caractère économique liées à ses activités professionnelles en lien notamment avec les sociétés du groupe A.________. Dans une telle configuration, le recourant ne saurait donc se prévaloir du secret précité pour s'opposer au versement au dossier des pièces sous scellés. Il lui appartenait donc de démontrer en quoi l'accès à ces documents - provenant d'autorités, notamment fiscales (sur le secret y relatif, voir au demeurant arrêt 1B_458/2020 du 27 janvier 2021 consid. 6.1 qui l'écarte), et d'une société tierce - par le Ministère public lui causerait, personnellement, un dommage irréparable (arrêts 1B_132/2021 du 23 septembre 2021 consid. 2.3; 1B_458/2020 du 27 janvier 2021 consid. 3.3; 1B_108/2020 du 25 novembre 2020 consid. 3.4.2 et 3.4.3), ce qu'il ne fait pas. Partant, le recours est irrecevable, faute de préjudice irréparable.</w:t>
      </w:r>
    </w:p>
    <w:p>
      <w:r>
        <w:t>C'est le lieu de rappeler que, si le recourant devait estimer qu'une restriction de l'accès au dossier par d'autres personnes que les membres des autorités pénales, en particulier par des parties plaignantes, est nécessaire pour protéger des intérêts publics ou privés au maintien de secrets (cf. l'accès à des concurrents invoqués ad let. d p. 45 du recours), il lui demeurera loisible, ainsi que le cas échéant à d'autres personnes intéressées, de former une requête en ce sens au Ministère public (cf. art. 102 et 108 CPP ; arrêt 1B_108/2020 du 25 novembre 2020 consid. 3.4.5).</w:t>
      </w:r>
    </w:p>
    <w:p>
      <w:r>
        <w:rPr>
          <w:b/>
        </w:rPr>
        <w:t>E. 1.3</w:t>
      </w:r>
    </w:p>
    <w:p>
      <w:r>
        <w:t>Le recourant se plaint encore de la mesure de contrainte qui reposerait sur des mandats illicites, constituerait une recherche indéterminée de preuves et violerait le principe de la proportionnalité (cf. notamment ad let. B p. 25 du recours; voir aussi ad let. B p. 33 s. et let. a p. 39 ss).</w:t>
      </w:r>
    </w:p>
    <w:p>
      <w:r>
        <w:rPr>
          <w:b/>
        </w:rPr>
        <w:t>E. 1.3.1</w:t>
      </w:r>
    </w:p>
    <w:p>
      <w:r>
        <w:t>Cela étant, si de tels griefs peuvent être soulevés à titre accessoire dans le cadre de la procédure de levée des scellés, l'entrée en matière sur ceux-ci par le Tribunal fédéral présuppose que le recours en matière pénale sur la question principale - soit la levée des scellés - soit recevable (arrêt 1B_28/2021 du 4 novembre 2021 consid. 2 et les arrêts cités; voir également arrêts 1B_108/2020 du 25 novembre 2020 consid. 3.5 et 1B_149/2020 du 24 juillet 2020 consid. 2.2.3 laissant indécise la question de l'existence d'un préjudice irréparable en lien avec ces problématiques). Tel n'est pas le cas en l'occurrence (cf. consid. 1.2.2 ci-dessus) et, partant, le recours est également irrecevable sur ces questions uniquement accessoires.</w:t>
      </w:r>
    </w:p>
    <w:p>
      <w:r>
        <w:rPr>
          <w:b/>
        </w:rPr>
        <w:t>E. 1.3.2</w:t>
      </w:r>
    </w:p>
    <w:p>
      <w:r>
        <w:t>Vu le dépôt du recours dans la présente cause le 9 septembre 2021, soit antérieurement à l'arrêt 1B_28/2021 susmentionné, un examen des griefs pourrait être préféré à une stricte irrecevabilité. Cette question n'a cependant pas à être tranchée puisque, de toute manière, ces problématiques - certes alors en lien avec d'autres perquisitions - ont déjà été examinées par le Tribunal fédéral dans l'arrêt 1B_108/2020. En particulier, la Cour de céans a retenu qu'il subsistait - en l'état de la procédure et au stade de la vraisemblance (cf. art. 263 al. 1 CPP en lien avec l' art. 248 CPP ) - des charges suffisantes portant sur des infractions de nature patrimoniale qui pourraient avoir été commises par le recourant après 2009 (cf. consid. 6.2.2). Dans ce même arrêt, le Tribunal fédéral a confirmé la proportionnalité des nombreuses perquisitions et ordres de dépôts émis concernant notamment des périodes comptables s'étendant jusqu'en 2015, respectivement 2017 : cette circonstance tenait essentiellement à la nature des actes reprochés au recourant, qui était soupçonné de s'être servi de la comptabilité de nombreuses sociétés en lien avec son commerce de vin pour y dissimuler des activités pénalement répréhensibles; les saisies effectuées s'étant concentrées sur des documents se rapportant à la situation financière du recourant, ainsi qu'à celle de personnes et entités qui pourraient être impliquées dans ses activités, il ne pouvait ainsi, dans ce contexte, être reproché au Ministère public d'avoir opéré des recherches indéterminées de preuves (cf. consid. 6.5 et, s'agissant de l'utilité potentielle des pièces liées à cette problématique, consid. 6.3.3; voir également arrêt 1B_458/2020 du 27 janvier 2021 consid. 6.1).</w:t>
      </w:r>
    </w:p>
    <w:p>
      <w:r>
        <w:t>Le recourant ne développe aucune argumentation permettant de remettre en cause cette appréciation, notamment en se référant à l'avancement de l'instruction depuis l'arrêt du Tribunal fédéral du 25 novembre 2020; à cet égard et devant le Tribunal fédéral, il ne lui suffit pas d'affirmer, sans pièce à l'appui ou référence précise au dossier, qu'un rapport de la Division des affaires pénales et enquêtes (DAPE) établirait l'absence de comportement illicite de sa part après 2009 (cf. ad let. a p. 40 du recours); il ne prétend au demeurant pas qu'il s'agirait d'un élément nouveau dont le Tribunal fédéral n'aurait pas eu connaissance en novembre 2020 et janvier 2021. Le recourant ne soutient pas non plus que la nature des documents litigieux dans la présente cause seraient fondamentalement différente de celle des pièces ayant fait l'objet de l'arrêt 1B_108/2020 et ne permettrait ainsi pas d'atteindre les buts susmentionnés. Il ne prétend en outre pas que la Société D.________ aurait déjà fait l'objet d'un ordre de dépôt et/ou que les activités qui lui sont reprochées seraient clairement sans lien avec cette société. La saisie de nouvelles pièces - qui relève de l'appréciation dont dispose le Ministère public notamment eu égard à l'avancement de la procédure - ou/et l'ampleur de celles-ci ne permettent pas en soi de considérer que les mesures ordonnées seraient disproportionnées ou relèveraient d'une recherche indéterminée de preuves. Partant, les mesures ordonnées apparaissent conformes au principe de proportionnalité et les documents saisis - permettant d'établir la situation financière et/ou d'examiner les activités du recourant - semblent utiles à la procédure.</w:t>
      </w:r>
    </w:p>
    <w:p>
      <w:r>
        <w:rPr>
          <w:b/>
        </w:rPr>
        <w:t>E. 2</w:t>
      </w:r>
    </w:p>
    <w:p>
      <w:r>
        <w:t>Le recourant se plaint encore d'un bris de scellés, dès lors que des annotations figureraient sur des pièces produites par la Société D.________ (cf. ad Iet. B p. 35 s. du recours).</w:t>
      </w:r>
    </w:p>
    <w:p>
      <w:r>
        <w:t>Il n'y a pas lieu de déterminer dans quelle mesure cette problématique serait susceptible de constituer un préjudice irréparable permettant l'entrée en matière, dès lors que le recours doit être rejeté sur ce point. En effet, il ressort des déterminations déposées au cours de la procédure fédérale par le Tmc et par le Ministère public les éléments suivants : le 31 mai 2021, le Ministère public a reçu les documents de la Société D.________, les a examinés et les a classés au dossier; la demande de mise sous scellés du 1er juin 2021 les concernant lui est parvenue le lendemain, soit le 2 juin 2021, date à laquelle les scellés ont été apposés; le 8 juillet 2021, les scellés ont été rompus par le Tmc, en présence du recourant et de son mandataire, lesquels n'ont alors signalé aucune irrégularité. Ces constatations n'ont pas été remises en cause par le recourant, lequel n'a pas non plus prétendu avoir déposé une demande de mise sous scellés dès la connaissance, le 17 mai 2021, de l'ordre de dépôt adressé à la Société D.________. Aucune circonstance ne permet donc de considérer que les pièces litigieuses auraient dû être placées sous scellés au moment de leur réception le 31 mai 2021, soit antérieurement à la réception le 2 juin suivant de la demande de protection émise par le recourant en ce qui les concerne (cf. arrêt 1B_59/2020 du 19 juin 2020 consid. 3.1).</w:t>
      </w:r>
    </w:p>
    <w:p>
      <w:r>
        <w:rPr>
          <w:b/>
        </w:rPr>
        <w:t>E. 3</w:t>
      </w:r>
    </w:p>
    <w:p>
      <w:r>
        <w:t>Le recourant reproche au Tmc de n'avoir pas statué sur les frais et dépens, respectivement sur sa demande d'assistance judiciaire.</w:t>
      </w:r>
    </w:p>
    <w:p>
      <w:r>
        <w:t>La question de la recevabilité de ces griefs peut rester indécise, dès lors qu'ils sont mal fondés. Le recourant ne subit en effet aucun déni de justice à cet égard puisque le Tmc s'est prononcé dans son ordonnance sur ces problématiques : il a ainsi déclaré que les frais et dépens de sa décision seraient fixés à fin de cause (ch. 5 du dispositif de l'ordonnance attaquée). On comprend dès lors qu'une décision ultérieure - soit a priori une fois la décision sur le fond entrée en force - sera rendue sur ces points, prononcé qui devrait prendre en considération la demande d'assistance judiciaire; cette décision pourra, le cas échéant, confirmer le renvoi au juge du fond mentionné dans les considérants de l'ordonnance attaquée s'agissant de l'éventuel octroi de dépens à un prévenu (cf. consid. c p. 10 de cette écriture). Le recourant a d'ailleurs été formellement averti de cette manière de procéder lors de l'audience du 8 juillet 2021 (cf. le procès-verbal y relatif p. 12). On rappellera en outre au recourant qu'il n'y a pas de violation du droit d'être entendu du fait que la motivation retenue par l'autorité est différente de celle à laquelle aspire le recourant.</w:t>
      </w:r>
    </w:p>
    <w:p>
      <w:r>
        <w:rPr>
          <w:b/>
        </w:rPr>
        <w:t>E. 4</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