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477/2018 vom 17. Oktober 2018</w:t>
      </w:r>
    </w:p>
    <w:p>
      <w:r>
        <w:t>Bundesgericht, 2018-10-17, DE</w:t>
      </w:r>
    </w:p>
    <w:p>
      <w:r>
        <w:rPr>
          <w:b/>
        </w:rPr>
        <w:t xml:space="preserve">Quelle: </w:t>
      </w:r>
      <w:r>
        <w:t>https://mcp.opencaselaw.ch/entscheid/bger_1B_477_2018</w:t>
      </w:r>
    </w:p>
    <w:p>
      <w:r>
        <w:t>FR: TF 1B 477/2018 du 17 octobre 2018</w:t>
      </w:r>
    </w:p>
    <w:p>
      <w:r>
        <w:t>IT: TF 1B 477/2018 del 17 ottobre 2018</w:t>
      </w:r>
    </w:p>
    <w:p>
      <w:pPr>
        <w:pStyle w:val="Heading2"/>
      </w:pPr>
      <w:r>
        <w:t>Regeste</w:t>
      </w:r>
    </w:p>
    <w:p>
      <w:r>
        <w:t>Strafverfahren; Ausstand | Zuständigkeitsfragen, Garantie des Wohnsitzrichters und des v...</w:t>
      </w:r>
    </w:p>
    <w:p>
      <w:pPr>
        <w:pStyle w:val="Heading2"/>
      </w:pPr>
      <w:r>
        <w:t>Erwägungen</w:t>
      </w:r>
    </w:p>
    <w:p>
      <w:r>
        <w:rPr>
          <w:b/>
        </w:rPr>
        <w:t>E. 1</w:t>
      </w:r>
    </w:p>
    <w:p>
      <w:r>
        <w:t>Am 7. August 2018 fand vor dem Regionalgericht Bern-Mittelland die Hauptverhandlung im Strafverfahren gegen A.________ wegen Gewalt und Drohung gegen Behörden und Beamte, einfacher Körperverletzung usw. statt. Zu Beginn der Verhandlung stellte A.________ ein Ausstandsgesuch gegen den Gerichtspräsidenten. Dieser brach die Hauptverhandlung ab und überwies das Ausstandsbegehren an die Beschwerdekammer in Strafsachen des Obergerichts des Kantons Bern. Mit Beschluss vom 25. September 2018 wies die Beschwerdekammer das Ausstandsgesuch ab. Zur Begründung führte die Beschwerdekammer zusammenfassend aus, der Umstand, dass der Gerichtspräsident im Vorfeld der Hauptverhandlung die Verfahrensakten und das sich darin befindende Videomaterial gesichtet habe, begründe keine unzulässige Voreingenommenheit.</w:t>
      </w:r>
    </w:p>
    <w:p>
      <w:r>
        <w:rPr>
          <w:b/>
        </w:rPr>
        <w:t>E. 2</w:t>
      </w:r>
    </w:p>
    <w:p>
      <w:r>
        <w:t>A.________ führt mit Eingabe vom 11. Oktober 2018 (Postaufgabe 12. Oktober 2018) Beschwerde in Strafsachen gegen den Beschluss der Beschwerdekammer in Strafsachen des Obergerichts des Kantons Bern. Das Bundesgericht verzichtet auf die Einholung von Vernehmlassungen.</w:t>
      </w:r>
    </w:p>
    <w:p>
      <w:r>
        <w:rPr>
          <w:b/>
        </w:rPr>
        <w:t>E. 3</w:t>
      </w:r>
    </w:p>
    <w:p>
      <w:r>
        <w:t>Der Beschwerdeführer ersucht um Ansetzung einer Nachfrist für eine Beschwerdeergänzung, falls die Beschwerde den Begründungsanforderungen von Art. 42 Abs. 2 BGG nicht genügen sollte. Die Beschwerdefrist kann als eine gesetzliche Frist nicht erstreckt werden ( Art. 47 Abs. 1 BGG ). Ein Anspruch auf Nachfristansetzung zur Ergänzung der Beschwerdebegründung ergibt sich auch nicht aus Art. 42 BGG oder nach allgemeinen Grundsätzen ( BGE 134 II 244 E. 2.4 S. 247 f.). Ausserdem sind dem Beschwerdeführer die Begründungsanforderungen nach Art. 42 Abs. 2 BGG aus früheren Verfahren bekannt (vgl. Urteil 1C_361/2018 vom 20. Juli 2018, Urteil 8C_105/2018 vom 27. Februar 2018 und Urteil 8C_138/2018 vom 27. Februar 2018). Dem Gesuch kann somit nicht entsprochen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vermag mit seinen Ausführungen nicht verständlich aufzuzeigen, dass die Beschwerdekammer Recht im Sinne von Art. 42 Abs. 2 BGG verletzt hätte, als sie das Ausstandsgesuch abwies. Er legt nicht im Einzelnen nachvollziehbar dar, inwiefern die Begründung der Beschwerdekammer, die zur Abweisung des Ausstandsgesuchs führte, bzw. der Beschluss der Beschwerdekammer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 Mit dem vorliegenden Entscheid in der Sache selbst wird das Gesuch um Gewährung der aufschiebenden Wirkung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