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477/2011 vom 4. Januar 2012</w:t>
      </w:r>
    </w:p>
    <w:p>
      <w:r>
        <w:t>Bundesgericht, 2012-01-04, FR</w:t>
      </w:r>
    </w:p>
    <w:p>
      <w:r>
        <w:rPr>
          <w:b/>
        </w:rPr>
        <w:t xml:space="preserve">Quelle: </w:t>
      </w:r>
      <w:r>
        <w:t>https://mcp.opencaselaw.ch/entscheid/bger_1B_477_2011</w:t>
      </w:r>
    </w:p>
    <w:p>
      <w:r>
        <w:t>FR: TF 1B 477/2011 du 4 janvier 2012</w:t>
      </w:r>
    </w:p>
    <w:p>
      <w:r>
        <w:t>IT: TF 1B 477/2011 del 4 gennaio 2012</w:t>
      </w:r>
    </w:p>
    <w:p>
      <w:pPr>
        <w:pStyle w:val="Heading2"/>
      </w:pPr>
      <w:r>
        <w:t>Regeste</w:t>
      </w:r>
    </w:p>
    <w:p>
      <w:r>
        <w:t>procédure pénale; refus de désignation d'un défenseur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agir ( art. 81 al. 1 LTF ). Le refus de désigner un avocat d'office au prévenu est susceptible de lui causer un préjudice irréparable au sens de l' art. 93 al. 1 let. a LTF ( ATF 133 IV 335 consid. 4 p. 338 et les références). Pour le surplus, le recours est formé en temps utile ( art. 100 al. 1 LTF ) contre une décision rendue en dernière instance cantonale ( art. 80 LTF ) et les conclusions présentées sont recevables au regard de l' art. 107 al. 2 LTF .</w:t>
      </w:r>
    </w:p>
    <w:p>
      <w:r>
        <w:rPr>
          <w:b/>
        </w:rPr>
        <w:t>E. 2</w:t>
      </w:r>
    </w:p>
    <w:p>
      <w:r>
        <w:t>La défense d'office aux fins de protéger les intérêts du prévenu se justifie notamment lorsque l'affaire n'est pas de peu de gravité et qu'elle présente, sur le plan des faits ou du droit, des difficultés que le prévenu seul ne pourrait pas surmonter.</w:t>
      </w:r>
    </w:p>
    <w:p>
      <w:r>
        <w:rPr>
          <w:b/>
        </w:rPr>
        <w:t>E. 2.1</w:t>
      </w:r>
    </w:p>
    <w:p>
      <w:r>
        <w:t>La défense obligatoire est réglée par l' art. 130 CPP , dont la lettre b prévoit que le prévenu doit avoir un défenseur lorsqu'il encourt une peine privative de liberté de plus d'un an ou une mesure entraînant une privation de liberté. Quant à l' art. 132 CPP , qui traite de la défense d'office, il a la teneur suivante: 1 La direction de la procédure ordonne une défense d'office: a. en cas de défense obligatoire: 1. si le prévenu, malgré l'invitation de la direction de la procédure, ne désigne pas de défenseur privé,</w:t>
      </w:r>
    </w:p>
    <w:p>
      <w:r>
        <w:rPr>
          <w:b/>
        </w:rPr>
        <w:t>E. 2.2</w:t>
      </w:r>
    </w:p>
    <w:p>
      <w:r>
        <w:t>Selon la systématique de l' art. 132 CPP , la défense d'office doit être ordonnée non seulement en cas de défense obligatoire au sens de l' art. 130 CPP si les conditions de l' art. 132 al. 1 let. a CPP sont réalisées, mais aussi hors des cas de défense obligatoire, aux conditions de l' art. 132 al. 1 let. b CPP . En d'autres termes, un défenseur d'office peut être désigné également dans les cas de défense facultative (cf. arrêt 1B_195/2011 du 28 juin 2011, consid. 3.1 non publié aux ATF 137 IV 215 ). Pour qu'une défense d'office soit ordonnée dans un cas de défense facultative, il faut que les conditions posées par l' art. 132 al. 1 let. b CPP - et précisées par l' art. 132 al. 2 et 3 CPP - soient réunies. Ces conditions reprennent largement la jurisprudence du Tribunal fédéral en matière d'assistance judiciaire. Selon cette jurisprudence, rendue sur la base des art. 29 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128 I 225 consid. 2.5.2 p. 232 s.; 120 Ia 43 consid. 2a p. 44 et les références citées). Si les deux conditions mentionnées à l' art. 132 al. 2 CPP doivent être réunies cumulativement, il n'est pas exclu que l'intervention d'un défenseur soit justifiée par d'autres motifs,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(cf. MAURICE HARARI/TATIANA ALIBERTI, in Commentaire romand CPP, 2011, n. 64 ad art. 132; VIKTOR LIEBER, in Donatsch/Hansjakob/Lieber (éd.), Kommentar zur Schweizerischen Strafprozessordnung, 2010, n. 16 ad art. 132; NIKLAUS RUCKSTUHL, in Basler Kommentar StPO, 2011, n. 36 ad art. 132).</w:t>
      </w:r>
    </w:p>
    <w:p>
      <w:r>
        <w:rPr>
          <w:b/>
        </w:rPr>
        <w:t>E. 2.3</w:t>
      </w:r>
    </w:p>
    <w:p>
      <w:r>
        <w:t>En l'occurrence, l'indigence du recourant n'est pas remise en cause dans l'arrêt attaqué. En revanche, le Tribunal cantonal a estimé que le prévenu n'encourrait pas une peine privative de liberté de plus d'un an, de sorte que la condition de l'art. 130 let. b n'était pas remplie. Il était même douteux que l'intéressé risque une peine privative de liberté de plus de quatre mois, une peine pécuniaire de plus de 120 jours-amende ou un travail d'intérêt général de plus de 480 heures, de sorte que la condition de l' art. 132 al. 3 CPP n'était pas non plus réalisée. Quoi qu'il en soit, la cause ne présentait manifestement pas, sur le plan des faits ou du droit, des difficultés que le recourant ne pourrait surmonter seul, si bien qu'il ne pouvait pas prétendre à la désignation d'un défenseur sur la base de l' art. 132 al. 2 CPP . Il est vrai qu'en l'état le recourant n'est poursuivi que pour voies de fait, menaces, vol, subsidiairement appropriation illégitime. Cela étant, comme le recourant le mentionne lui-même, il n'est pas nécessairement exclu qu'il s'expose à une condamnation pour mise en danger de la vie d'autrui au sens de l' art. 129 CP . Certes, les éléments figurant actuellement au dossier ne permettent pas d'établir avec certitude l'existence d'une strangulation susceptible d'entraîner la mort. La plaignante affirme cependant que le recourant l'a saisie à deux reprises par le cou en la menaçant de mort. Cette version, contestée par l'intéressé, est corroborée par le témoignage de la mère de la plaignante, qui a déclaré que le recourant avait tenu celle-ci fortement par le cou et qu'il l'avait secouée. De plus, les mauvais antécédents du prévenu pourraient accréditer la thèse d'un accès de violence. En effet, comme il le mentionne lui-même, le recourant a déjà été condamné pour homicide par négligence "pour des faits de violence". Il lui était alors reproché d'avoir tué son compagnon au cours d'une dispute, en le frappant à la gorge avec un couteau éplucheur (cf. arrêt 1P.57/2006 du 27 janvier 2006). Cette condamnation n'est pas seulement de nature à conforter la version de la plaignante, mais elle est aussi susceptible d'avoir une incidence négative sur la fixation de la peine. Par ailleurs, si le Ministère public semble s'en tenir actuellement à l'infraction de voies de fait, il pourrait décider d'aggraver l'accusation et il n'est pas exclu que l'autorité de jugement condamne finalement le recourant pour mise en danger de la vie d'autrui au sens de l' art. 129 CP , le cas échéant après modification et compléments de l'accusation selon la procédure de l' art. 333 CPP . Dans ces conditions particulières, on peut admettre que le recourant encourt une peine privative de liberté dont la durée n'est pas négligeable. Il n'est pas certain qu'il s'expose à une peine de plus d'un an, mais il pourrait légitimement redouter une peine de l'ordre de celles mentionnées à l' art. 132 al. 3 CPP . De nouveaux éléments pourraient en outre rapidement causer des difficultés pour établir les faits ou qualifier juridiquement l'infraction et l'intéressé pourrait se trouver démuni pour se défendre contre les accusations dont il fait l'objet. Certes, la plaignante agit elle-même sans avocat, mais si les charges devaient s'accroître elle pourrait être appuyée par le Ministère public, qui soutiendra l'accusation. On peut donc également admettre que l'assistance d'un mandataire est justifiée pour sauvegarder les intérêts du prévenu. Compte tenu des particularités du cas d'espèce, la situation ne saurait s'apprécier en tenant compte uniquement de l'état actuel de l'enquête. En effet, il ne se justifie pas d'attendre une aggravation des charges pour envisager une défense d'office, ce d'autant moins qu'une telle aggravation pourrait survenir à la fin de l'instruction voire même au stade du jugement. L'intervention d'un mandataire professionnel apparaît donc nécessaire pour suivre l'instruction et réagir à temps aux nouveaux développements qui pourraient s'esquisser, une désignation tardive étant susceptible de péjorer notablement la situation du recourant. En définitive, les conditions permettant de désigner un défenseur d'office sont réunies, à tout le moins celles qui concernent les cas de défense facultative ( art. 132 al. 1 let. b CPP ).</w:t>
      </w:r>
    </w:p>
    <w:p>
      <w:r>
        <w:rPr>
          <w:b/>
        </w:rPr>
        <w:t>E. 3</w:t>
      </w:r>
    </w:p>
    <w:p>
      <w:r>
        <w:t>Il s'ensuit que le recours doit être admis et l'arrêt attaqué annulé, de même que l'ordonnance rendue le 27 juin 2011 par le Ministère public de l'arrondissement de Lausanne. La cause est renvoyée à cette autorité pour qu'elle désigne un défenseur d'office au recourant. Le recourant, qui obtient gain de cause avec l'assistance d'un avocat, a droit à des dépens, à la charge de l'Etat de Vaud ( art. 68 al. 1 et 2 LTF ). Le montant fixé dans le dispositif du présent arrêt comprend une indemnité à titre de dépens pour la procédure devant les autorités cantonales. Dans ces conditions, sa requête d'assistance judiciaire devient sans objet.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