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1B_476/2017 vom 4. April 2018</w:t>
      </w:r>
    </w:p>
    <w:p>
      <w:r>
        <w:t>Bundesgericht, 2018-04-04, FR</w:t>
      </w:r>
    </w:p>
    <w:p>
      <w:r>
        <w:rPr>
          <w:b/>
        </w:rPr>
        <w:t xml:space="preserve">Quelle: </w:t>
      </w:r>
      <w:r>
        <w:t>https://mcp.opencaselaw.ch/entscheid/bger_1B_476_2017</w:t>
      </w:r>
    </w:p>
    <w:p>
      <w:r>
        <w:t>FR: TF 1B_476/2017 du 4 avril 2018</w:t>
      </w:r>
    </w:p>
    <w:p>
      <w:r>
        <w:t>IT: TF 1B_476/2017 del 4 aprile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attaqué relatif à l'exploitation de moyens de preuve a été rendu au cours d'une procédure pénale par une autorité statuant en dernière instance cantonale ( art. 80 LTF ); il est donc susceptible d'un recours en matière pénale au sens des art. 78 ss LTF . Le recours a été déposé en temps utile ( art. 100 al. 1 LTF ) et les conclusions qui y sont prises sont recevables ( art. 107 al. 2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1.2.1</w:t>
      </w:r>
    </w:p>
    <w:p>
      <w:r>
        <w:t>Constituent des prétentions au sens de la disposition susmentionnée celles qui sont fondées sur le droit civil et doivent en conséquence être déduites ordinairement devant les tribunaux civils. Il s'agit principalement des prétentions en réparation du dommage et du tort moral au sens des art. 41 ss CO qui découlent directement de la commission de l'infraction en cause ( ATF 141 IV 1 consid. 1.1 p. 4).</w:t>
      </w:r>
    </w:p>
    <w:p>
      <w:r>
        <w:t>En vertu de l' art. 42 al. 1 LTF , il incombe à la partie recourante d'alléguer les faits qu'elle considère comme propres à fonder sa qualité pour recourir, soit notamment quelles prétentions elle entend faire valoir contre les intimés ( ATF 141 IV 1 consid. 1.1 p. 4; 137 IV 246 consid. 1.3.1 p. 247 s.). La partie plaignante doit donc exposer dans son mémoire au Tribunal fédéral clairement et précisément ses prétentions civiles, en fournissant les explications nécessaires pour rendre plausible, sur la base du dossier, le tort moral et/ou le dommage subi, dans son principe et dans son montant (C HRISTIAN DENYS, Le recours en matière pénale de la partie plaignante, in SJ 2014 II p. 249, ad VI/A p. 252). Si la partie plaignante se plaint d'infractions distinctes, elle doit mentionner, pour chacune d'elles, en quoi consiste son dommage. Si ce dernier n'est motivé qu'en ce qui concerne l'une des infractions, le recours est irrecevable pour les autres (arrêt 6B_496/2017 du 24 janvier 2018 consid. 1.1 et les arrêts cités).</w:t>
      </w:r>
    </w:p>
    <w:p>
      <w:r>
        <w:t>En matière d'infraction économique, il ne suffit ainsi pas à la partie plaignante de se prévaloir d'avoir été touchée par l'infraction examinée (arrêts 6B_791/2017 du 8 mars 2018 consid. 1; 6B_198/2017 du 24 novembre 2017 consid. 1.2; 6B_936/2013 du 14 février 2014 consid. 1.2; DENYS, op. cit., ad VI/B p. 252). Lorsqu'une infraction à la LCD est dénoncée, le dommage invoqué doit aussi être clairement exposé, étant rappelé que la procédure pénale n'a pas pour vocation de déterminer l'étendue des obligations contractuelles des parties en cause (arrêts 6B_307/2015 du 5 mai 2015 consid. 4; 1B_682/2012 du 16 novembre 2012 consid. 3.2; DENYS, op. cit., ad VI/B p. 253).</w:t>
      </w:r>
    </w:p>
    <w:p>
      <w:r>
        <w:rPr>
          <w:b/>
        </w:rPr>
        <w:t>E. 1.2.2</w:t>
      </w:r>
    </w:p>
    <w:p>
      <w:r>
        <w:t>En l'occurrence, la recourante se plaint d'un transfert de données confidentielles et d'un détournement des fournisseurs, ainsi que des "prospects". S'il ne peut lui être reproché de ne pas avoir encore chiffré ses conclusions à ce stade encore très précoce de la procédure, les éléments susmentionnés ne suffisent pas pour établir l'existence d'un dommage, même sous l'angle de la vraisemblance, pour la recourante. Celui-ci ne peut pas non plus être, dans le cas d'espèce, déduit directement et sans ambiguïté des infractions dénoncées ( art. 158, 162 CP et 23 LCD), même si deux d'entre elles figurent dans le titre du Code pénal consacré aux infractions contre le patrimoine. Il appartenait en conséquence à la recourante d'expliquer - même brièvement - quel préjudice aurait découlé des actes dénoncés, par exemple en faisant état d'une éventuelle perte de gain, de frais supplémentaires engendrés par les actes dénoncés et/ou de l'impossibilité de déposer un brevet pour la technologie développée et en substance alléguée copiée par E.________ Sàrl, respectivement de mettre celle-ci en vente. Or, malgré l'assistance de deux mandataires professionnels, la recourante ne donne aucune indication dans ce sens, violant ainsi ses obligations en matière de motivation ( art. 42 al. 2 LTF ). Des prétentions à l'encontre de l'intimé B.________ paraissent d'ailleurs d'autant moins évidentes que celui-ci n'était a priori pas lié contractuellement à la recourante.</w:t>
      </w:r>
    </w:p>
    <w:p>
      <w:r>
        <w:t>Partant, faute de motivation correspondant aux exigences en la matière, la qualité pour recourir doit être déniée à la recourante et le recours est dès lors irrecevable.</w:t>
      </w:r>
    </w:p>
    <w:p>
      <w:r>
        <w:rPr>
          <w:b/>
        </w:rPr>
        <w:t>E. 1.3</w:t>
      </w:r>
    </w:p>
    <w:p>
      <w:r>
        <w:t>La recourante ne paraît pas non plus avoir satisfait ses obligations en matière de motivation s'agissant de l'existence d'un préjudice irréparable au sens de l' art. 93 al. 1 let. a LTF (sur cette notion en cas de recours contre le retrait de preuves du dossier en application de l' art. 141 al. 5 CPP , ATF 141 IV 284 consid. 2.4 p. 287; arrêts 1B_231/2017 du 17 août 2017 consid. 1.4; 1B_21/2017 du 24 janvier 2017 consid. 2; 1B_11/2015 du 13 mai 2015 consid. 1.2.2).</w:t>
      </w:r>
    </w:p>
    <w:p>
      <w:r>
        <w:t>En effet, la recourante se limite à rappeler que ce préjudice doit être admis quand "la décision de retrancher 51 pièces produites [...] est manifestement susceptible d'entraver le bon déroulement de l'instruction et de compromettre définitivement la recherche de la vérité dès lors que, notamment en raison du nombre de pièces retranchées, le risque d'un classement de la procédure faute de preuve est non négligeable". Or, le nombre de pièces à retirer ne permet pas de considérer à lui seul que l'instruction serait entravée dans une telle mesure que seul un classement entrerait dès lors en considération; cela vaut d'autant plus en l'occurrence où l'ensemble des parties paraît avoir produit de nombreuses pièces. La recourante devait donc expliquer pourquoi les pièces retirées seraient déterminantes, par exemple quant à leur contenu, leurs émissaires et/ou destinataires, ce qu'elle ne fait pas. Il y a lieu encore de relever que les pièces en cause seront conservées séparément jusqu'à l'issue de la procédure, ce qui exclut un risque de destruction ou de disparition et permet, le cas échéant, de requérir ultérieurement leur réintégration au dossier ( art. 141 al. 5 CPP par analogie; arrêts 1B_21/2017 du 24 janvier 2017 consid. 2; 1B_11/2015 du 13 mai 2015 consid. 1.2.3).</w:t>
      </w:r>
    </w:p>
    <w:p>
      <w:r>
        <w:t>En tout état de cause, on peine à voir quel serait le préjudice irréparable pour la recourante s'agissant des pièces relatives à un de ses employés actuels (cf. consid. 3.3.3 de l'arrêt entrepris; pièces 4/40, 20/27 et 20/34) ou à un de ses actionnaires (cf. consid. 3.3.4 du jugement attaqué; pièces 20/51), ne paraissant pas impossible pour elle d'obtenir leur consentement pour la production des pièces les concernant.</w:t>
      </w:r>
    </w:p>
    <w:p>
      <w:r>
        <w:rPr>
          <w:b/>
        </w:rPr>
        <w:t>E. 2</w:t>
      </w:r>
    </w:p>
    <w:p>
      <w:r>
        <w:t>Il s'ensuit que le recours est irrecevable.</w:t>
      </w:r>
    </w:p>
    <w:p>
      <w:r>
        <w:t>La recourante, qui succombe, supporte les frais judiciaires ( art. 66 al. 1 LTF ). Il n'y a pas lieu d'allouer de dépens aux intimés C.________ et D.________ qui procèdent sans l'assistance d'un avocat et ne prennent aucune conclusion dans ce sens; il en va de même pour l'intimé B.________, qui certes agit par l'intermédiaire d'une mandataire professionnelle, mais qui s'est limité à s'en remettre à justice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