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1B_474/2018 vom 22. November 2018</w:t>
      </w:r>
    </w:p>
    <w:p>
      <w:r>
        <w:t>Bundesgericht, 2018-11-22, FR</w:t>
      </w:r>
    </w:p>
    <w:p>
      <w:r>
        <w:rPr>
          <w:b/>
        </w:rPr>
        <w:t xml:space="preserve">Quelle: </w:t>
      </w:r>
      <w:r>
        <w:t>https://mcp.opencaselaw.ch/entscheid/bger_1B_474_2018</w:t>
      </w:r>
    </w:p>
    <w:p>
      <w:r>
        <w:t>FR: TF 1B_474/2018 du 22 novembre 2018</w:t>
      </w:r>
    </w:p>
    <w:p>
      <w:r>
        <w:t>IT: TF 1B_474/2018 del 22 novembre 2018</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partie plaignante dont les demandes de récusation ont été rejetées, a qualité pour recourir en vertu de l' art. 81 al. 1 LTF . Il dispose d'un intérêt actuel et pratique à obtenir la récusation du Premier procureur quand bien même la procédure pénale est close à la suite de l'ordonnance de non-entrée en matière rendue par ce magistrat dans la mesure où cette décision n'est pas définitive en raison du recours formé contre l'arrêt cantonal la confirmant auprès de la Cour de droit pénal du Tribunal fédéral (cause 6B_1021/2018). Interjeté en temps utile contre une décision prise en dernière instance cantonale, le recours est recevable au regard des art. 80 al. 1 et 100 al. 1 LTF. Les conclusions du recourant tendant principalement à la récusation du Premier procureur et subsidiairement au renvoi de la cause pour nouvelle décision le sont également au regard de l' art. 107 LTF . Tel n'est pas le cas en revanche de celle visant l'annulation et la répétition des actes auxquels a participé le Premier procureur. Il n'appartient en effet pas à la Cour de céans de décider des incidences d'une récusation éventuelle sur les actes accomplis par ce magistrat et sur l'ordonnance de non-entrée en matière non exécutoire rendue par celui-ci.</w:t>
      </w:r>
    </w:p>
    <w:p>
      <w:r>
        <w:rPr>
          <w:b/>
        </w:rPr>
        <w:t>E. 2</w:t>
      </w:r>
    </w:p>
    <w:p>
      <w:r>
        <w:t>Le recourant reproche à la cour cantonale d'avoir omis d'évoquer certains faits essentiels et griefs allégués dans ses demandes de récusation des 15 juin et 4 juillet 2018 et requiert du Tribunal fédéral qu'il complète et rectifie l'état de fait conformément aux art. 97 al. 1 et 105 al. 2 LTF. Les demandes de récusation font partie du dossier cantonal remis à la Cour de céans qui est à même d'en apprécier le contenu sans qu'il soit nécessaire de rectifier formellement l'état de fait de l'arrêt attaqué si, comme l'affirme le recourant, la Cour de justice devait en avoir fait un résumé incomplet. Quant aux griefs qui auraient été omis, le recourant peut s'en plaindre le cas échéant en faisant valoir un déni de justice.</w:t>
      </w:r>
    </w:p>
    <w:p>
      <w:r>
        <w:rPr>
          <w:b/>
        </w:rPr>
        <w:t>E. 3</w:t>
      </w:r>
    </w:p>
    <w:p>
      <w:r>
        <w:t>Invoquant les art. 56 let. b et f CPP, le recourant considère que le Premier procureur Stéphane Grodecki aurait dû se récuser dans la cause P/10178/2018 dès l'instant où il a rendu l'acte d'accusation dans la cause P/2322/2015 et est devenu de ce fait sa partie adverse dans cette procédure. Il serait fondé à redouter une inimitié de ce magistrat à son égard étant donné que, dans le cadre de la cause P/2322/2015, le Tribunal de police l'a acquitté du chef d'accusation de tentative de contrainte, alors que le Premier procureur ne pouvait sérieusement soutenir que cette infraction était réalisée, et n'a pas donné suite à la mesure requise tendant à l'interdiction de représenter C.________ dans le cadre de toutes procédures ayant un lien direct ou indirect avec l'affaire dite D.________.</w:t>
      </w:r>
    </w:p>
    <w:p>
      <w:r>
        <w:t>La référence à l' art. 56 let. b CPP n'est pas pertinente. Est tenue de se récuser au sens de cette disposition toute personne exerçant une fonction au sein d'une autorité pénale lorsqu'elle a agi à un autre titre dans la même cause, en particulier comme membre d'une autorité, conseil juridique d'une partie, expert ou témoin. La notion de "même cause"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"même cause" au sens de l' art. 56 let. b CPP implique une triple identité de parties, de procédure et de questions litigieuses ( ATF 143 IV 69 consid. 3.1 p. 73). S'il y a identité de parties, dans des rôles inversés, l'identité de procédure fait défaut. La procédure pénale ouverte à la suite de la plainte pour calomnie déposée par A.________ contre B.________ n'est pas la suite de la cause P/2322/2015 même si elle présente une connexité avec celle-ci dans la mesure où les propos que le recourant considère comme attentatoires à l'honneur ont été tenus dans le cadre de cette cause. Il s'agit de procédures distinctes qui ne forment pas une même cause au sens exposé ci-dessus.</w:t>
      </w:r>
    </w:p>
    <w:p>
      <w:r>
        <w:t>Un magistrat est également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w:t>
      </w:r>
    </w:p>
    <w:p>
      <w:r>
        <w:t>Selon la jurisprudence, la récusation d'un procureur ne s'impose pas du seul fait qu'il a déjà rendu dans la même cause une ordonnance de non-entrée en matière ou de classement annulée par l'autorité de recours. D'une part,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la jurisprudence considère le magistrat appelé à statuer à nouveau après l'annulation d'une de ses décisions est en général à même de tenir compte de l'avis exprimé par l'instance supérieure et de s'adapter aux injonctions qui lui sont faites ( ATF 141 IV 178 consid. 3.2.3 p. 180; 138 IV 142 consid. 2.3 p. 146). De même, le simple motif qu'un procureur a déjà rendu un acte d'accusation à l'encontre du requérant dans une autre procédure ne suffit pas pour imposer sa récusation (arrêt 1B_262/2016 du 20 juillet 2016 consid. 4). Le recourant ne saurait dès lors être suivi lorsqu'il prétend que le Premier procureur ne pouvait pas s'occuper de la procédure pénale P/10178/2018 du seul fait qu'il est intervenu dans la procédure pénale P/2322/2015 dirigée à son encontre comme autorité d'instruction puis comme accusateur public. Seules des circonstances exceptionnelles permettent dans ces cas de justifier une récusation en particulier lorsque, par son attitude ou ses déclarations précédentes, le magistrat a clairement fait apparaître qu'il ne sera pas capable d'aborder la seconde procédure avec l'impartialité requise et dans le respect des devoirs de sa charge (arrêts 1B_430/2015 du 5 janvier 2016 consid. 3.2 in SJ 2017 I p. 50 et 1B_328/2015 du 11 novembre 2015 consid. 3.2).</w:t>
      </w:r>
    </w:p>
    <w:p>
      <w:r>
        <w:t>Il est exact que, dans la cause P/2322/2015, le Tribunal de police n'a pas suivi l'accusation à l'encontre du recourant en ce qui concerne la tentative de contrainte et qu'il a acquitté celui-ci de ce chef, rendant ainsi sans objet la mesure d'interdiction professionnelle de pratiquer dans l'affaire dite D.________ requise par le Premier procureur en application de l' art. 67 CP . Ce jugement n'est pas définitif puisque des appels ont été annoncés et les considérants motivés n'ont pas été rendus ou, si tel est le cas, ne figurent pas au dossier cantonal et ne sont pas connus. Quoi qu'il en soit, le fait que le Premier procureur n'a pas été suivi sur l'un des chefs d'accusation ne permet pas encore de retenir qu'il aurait commis une erreur crasse en renvoyant le recourant en jugement de ce chef ou qu'il aurait entendu favoriser la partie adverse en soutenant cette accusation, ce d'autant qu'il a repris la procédure en cours d'instruction. Pour le surplus, on ne voit pas que le Premier procureur pourrait nourrir une rancoeur ou une inimitié particulière à l'égard du recourant du seul fait qu'il n'a pas été suivi dans ses réquisitions et conclusions. On peut en effet attendre d'un magistrat qui a soutenu sans succès l'accusation dans une cause pénale qu'il prenne le recul nécessaire pour assumer les tâches qui lui sont dévolues en qualité d'autorité d'instruction en conformité avec les devoirs de réserve et d'impartialité dans une autre procédure opposant les mêmes parties pour des faits différents (cf. ATF 141 IV 178 consid. 3.2.3 précité).</w:t>
      </w:r>
    </w:p>
    <w:p>
      <w:r>
        <w:t>Le recourant fait également grand cas de l'interdiction de représenter C.________ dans toutes procédures en lien avec l'affaire dite D.________ plaidée devant le Tribunal de police dans la cause P/2322/2015, qu'il considère comme une mesure inappropriée et vexatoire. Le fait d'avoir requis une telle interdiction ne saurait passer pour un signe évident d'une inimitié du Premier procureur à son égard étant donné que les propos attentatoires à l'honneur, qui ont justifié la condamnation du recourant en première instance pour calomnie, ont été tenus dans le cadre d'une procédure civile en lien direct avec cette affaire. La virulence dont le magistrat intimé aurait prétendument fait preuve à l'encontre du recourant à l'audience de jugement du Tribunal de police dans sa plaidoirie ne ressort par ailleurs pas de l'état de fait de l'arrêt attaqué ni du dossier cantonal remis au Tribunal fédéral. Il appartient au demeurant au Ministère public de soutenir l'accusation devant l'autorité de jugement en tant qu'accusateur public. Il n'est alors plus tenu aux devoirs de réserve et d'impartialité qui prévalent durant l'instruction et peut exprimer ses convictions lors des débats ( ATF 141 IV 178 consid. 3.2.2 p. 180; 138 IV 145 consid. 2.2.2 et les références citées). Le fait que le Premier procureur a rendu une ordonnance de non-entrée en matière sur la plainte ne confirme pas davantage les soupçons du recourant d'une prévention de l'intimé à son égard puisque cette décision est fondée sur le fait justificatif de l' art. 14 CP et non sur la négation de la commission d'une infraction de calomnie pour laquelle le prévenu était poursuivi.</w:t>
      </w:r>
    </w:p>
    <w:p>
      <w:r>
        <w:t>Ainsi, le fait que le Premier procureur a renvoyé le recourant en jugement pour un chef d'accusation sur lequel il n'a pas été suivi et a requis sans succès une interdiction professionnelle d'exercer des mandats en lien avec une affaire déterminée ne suffit pas pour retenir que l'issue de la plainte pénale déposée dans le cadre de la procédure P/10178/2018 était prédéterminée. Le recourant ne prétend d'ailleurs pas que l'intimé aurait, dans le cadre de l'instruction de cette plainte, adopté une attitude, fait des déclarations ou pris des décisions de procédure, avant de rendre son ordonnance de non-entrée en matière, qui démontreraient que les circonstances précitées l'auraient influencé de manière défavorable dans la procédure pénale. On observera au demeurant que l'ordonnance de non-entrée en matière rendue par le Premier procureur a été confirmée en dernière instance cantonale sur recours du plaignant de sorte qu'à ce stade, sa reddition ne saurait constituer une violation des devoirs de sa charge susceptible de justifier sa récusation.</w:t>
      </w:r>
    </w:p>
    <w:p>
      <w:r>
        <w:rPr>
          <w:b/>
        </w:rPr>
        <w:t>E. 4</w:t>
      </w:r>
    </w:p>
    <w:p>
      <w:r>
        <w:t>Le recours doit par conséquent être rejeté dans la mesure où il est recevable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