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473/2020 vom 14. September 2020</w:t>
      </w:r>
    </w:p>
    <w:p>
      <w:r>
        <w:t>Bundesgericht, 2020-09-14, DE</w:t>
      </w:r>
    </w:p>
    <w:p>
      <w:r>
        <w:rPr>
          <w:b/>
        </w:rPr>
        <w:t xml:space="preserve">Quelle: </w:t>
      </w:r>
      <w:r>
        <w:t>https://mcp.opencaselaw.ch/entscheid/bger_1B_473_2020</w:t>
      </w:r>
    </w:p>
    <w:p>
      <w:r>
        <w:t>FR: TF 1B 473/2020 du 14 septembre 2020</w:t>
      </w:r>
    </w:p>
    <w:p>
      <w:r>
        <w:t>IT: TF 1B 473/2020 del 14 settembre 2020</w:t>
      </w:r>
    </w:p>
    <w:p>
      <w:pPr>
        <w:pStyle w:val="Heading2"/>
      </w:pPr>
      <w:r>
        <w:t>Regeste</w:t>
      </w:r>
    </w:p>
    <w:p>
      <w:r>
        <w:t>Strafverfahren; Vorladung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Strafgericht Basel-Stadt lud A.________ als Beschuldigten mit Verfügung vom 15. Juli 2020 zur Hauptverhandlung auf den 16. September 2020 vor. In der Folge ersuchte A.________ um Absetzung der Hauptverhandlung, worauf das Strafgericht Basel-Stadt ihm mit Verfügung vom 11. August 2020 mitteilte, dass die Hauptverhandlung vom 16. September 2020 stattfinde. A.________ gelangte mit Eingabe vom 12. September 2020 ans Bundesgericht und ersuchte um Verschiebung der Hauptverhandlung mittels superprovisorischer Verfügung. Das Bundesgericht verzichtet auf die Einholung von Vernehmlassungen.</w:t>
      </w:r>
    </w:p>
    <w:p>
      <w:r>
        <w:rPr>
          <w:b/>
        </w:rPr>
        <w:t>E. 2</w:t>
      </w:r>
    </w:p>
    <w:p>
      <w:r>
        <w:t>Die Beschwerde in Strafsachen ist zulässig gegen Entscheide letzter kantonaler Instanzen ( Art. 80 Abs. 1 BGG ). Bei der Verfügung des Strafgerichts Basel-Stadt handelt es sich nicht um einen letztinstanzlichen kantonalen Entscheid. Die Verfügung vom 11. August 2020 kann gemäss Rechtsmittelbelehrung des Strafgerichts Basel-Stadt innert 10 Tagen mit Beschwerde beim Appellationsgericht des Kantons Basel-Stadt angefochten werden. Der Beschwerdeführer hat denn auch gemäss seinen Ausführungen dieses Rechtsmittel ergriffen, wobei ein entsprechender Entscheid offenbar bisher noch nicht ergangen ist.</w:t>
      </w:r>
    </w:p>
    <w:p>
      <w:r>
        <w:rPr>
          <w:b/>
        </w:rPr>
        <w:t>E. 2.1</w:t>
      </w:r>
    </w:p>
    <w:p>
      <w:r>
        <w:t>Mangels eines Entscheids einer letzten kantonalen Instanz kann somit auf die Beschwerde gegen die Verfügung der Strafgerichts Basel-Stadt vom 11. August 2020 nicht eingetreten werden.</w:t>
      </w:r>
    </w:p>
    <w:p>
      <w:r>
        <w:rPr>
          <w:b/>
        </w:rPr>
        <w:t>E. 2.2</w:t>
      </w:r>
    </w:p>
    <w:p>
      <w:r>
        <w:t>Im Übrigen ist weder ersichtlich noch wird dies vom Beschwerdeführer dargetan, inwiefern die Beschwerdevoraussetzungen nach Art. 93 Abs. 1 BGG erfüllt sein sollten, so dass auch aus diesem Grund auf die Beschwerde nicht eingetreten werden könnte.</w:t>
      </w:r>
    </w:p>
    <w:p>
      <w:r>
        <w:rPr>
          <w:b/>
        </w:rPr>
        <w:t>E. 2.3</w:t>
      </w:r>
    </w:p>
    <w:p>
      <w:r>
        <w:t>Soweit der Beschwerdeführer seine Eingabe als Rechtsverzögerungsbeschwerde gegen das Appellatonsgericht des Kantons Basel-Stadt verstanden haben wollte, genügt seine Eingabe den Begründungsanforderungen von Art. 42 Abs. 2 BGG offensichtlich nicht. Der Beschwerdeführer macht keinerlei Ausführungen, weshalb sein Anspruch auf eine Beurteilung innert angemessener Frist im Sinne von Art. 29 Abs. 1 BV verletzt worden sein sollte.</w:t>
      </w:r>
    </w:p>
    <w:p>
      <w:r>
        <w:rPr>
          <w:b/>
        </w:rPr>
        <w:t>E. 2.4</w:t>
      </w:r>
    </w:p>
    <w:p>
      <w:r>
        <w:t>Auf die Beschwerde ist somit im vereinfachten Verfahren nach Art. 108 BGG nicht einzutreten. Mit dem vorliegenden Entscheid wird das Gesuch um Erlass einer vorsorglichen Massnahme gegenstandslos.</w:t>
      </w:r>
    </w:p>
    <w:p>
      <w:r>
        <w:rPr>
          <w:b/>
        </w:rPr>
        <w:t>E. 3</w:t>
      </w:r>
    </w:p>
    <w:p>
      <w:r>
        <w:t>Es ist davon abzusehen, für das bundesgerichtliche Verfahren Kosten zu erheben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